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C7EE6" w14:textId="1DF64628" w:rsidR="00976F12" w:rsidRPr="00976F12" w:rsidRDefault="00976F12" w:rsidP="00BD2C31">
      <w:pPr>
        <w:spacing w:before="100" w:beforeAutospacing="1" w:after="100" w:afterAutospacing="1"/>
        <w:jc w:val="center"/>
        <w:rPr>
          <w:rFonts w:ascii="Calibri" w:hAnsi="Calibri"/>
          <w:color w:val="000000"/>
        </w:rPr>
      </w:pPr>
      <w:bookmarkStart w:id="0" w:name="_GoBack"/>
      <w:bookmarkEnd w:id="0"/>
      <w:r w:rsidRPr="00976F12">
        <w:rPr>
          <w:rFonts w:ascii="Calibri" w:hAnsi="Calibri"/>
          <w:color w:val="000000"/>
        </w:rPr>
        <w:t>Psychology and Counseling</w:t>
      </w:r>
      <w:r>
        <w:rPr>
          <w:rFonts w:ascii="Calibri" w:hAnsi="Calibri"/>
          <w:color w:val="000000"/>
        </w:rPr>
        <w:br/>
      </w:r>
      <w:r w:rsidRPr="00976F12">
        <w:rPr>
          <w:rFonts w:ascii="Calibri" w:hAnsi="Calibri"/>
          <w:color w:val="000000"/>
        </w:rPr>
        <w:t xml:space="preserve">Graduate Student </w:t>
      </w:r>
      <w:r w:rsidR="005327D8" w:rsidRPr="00976F12">
        <w:rPr>
          <w:rFonts w:ascii="Calibri" w:hAnsi="Calibri"/>
          <w:color w:val="000000"/>
        </w:rPr>
        <w:t>Annual Review of Progress</w:t>
      </w:r>
      <w:r w:rsidRPr="00976F12">
        <w:rPr>
          <w:rFonts w:ascii="Calibri" w:hAnsi="Calibri"/>
          <w:color w:val="000000"/>
        </w:rPr>
        <w:t xml:space="preserve"> (GSARP) Procedures</w:t>
      </w:r>
      <w:r>
        <w:rPr>
          <w:rFonts w:ascii="Calibri" w:hAnsi="Calibri"/>
          <w:color w:val="000000"/>
        </w:rPr>
        <w:br/>
      </w:r>
      <w:r w:rsidR="00600A3A">
        <w:rPr>
          <w:rFonts w:ascii="Calibri" w:hAnsi="Calibri"/>
          <w:color w:val="000000"/>
        </w:rPr>
        <w:t xml:space="preserve">Approved </w:t>
      </w:r>
      <w:r w:rsidR="0030551F">
        <w:rPr>
          <w:rFonts w:ascii="Calibri" w:hAnsi="Calibri"/>
          <w:color w:val="000000"/>
        </w:rPr>
        <w:t>4-2018</w:t>
      </w:r>
      <w:r w:rsidR="00600A3A">
        <w:rPr>
          <w:rFonts w:ascii="Calibri" w:hAnsi="Calibri"/>
          <w:color w:val="000000"/>
        </w:rPr>
        <w:t xml:space="preserve"> (10-0 Vote)</w:t>
      </w:r>
    </w:p>
    <w:p w14:paraId="10ECF155" w14:textId="77777777" w:rsidR="005327D8" w:rsidRPr="00976F12" w:rsidRDefault="005327D8" w:rsidP="005327D8">
      <w:pPr>
        <w:numPr>
          <w:ilvl w:val="0"/>
          <w:numId w:val="1"/>
        </w:numPr>
        <w:spacing w:before="100" w:beforeAutospacing="1" w:after="100" w:afterAutospacing="1"/>
        <w:rPr>
          <w:rFonts w:ascii="Calibri" w:eastAsia="Times New Roman" w:hAnsi="Calibri"/>
          <w:color w:val="000000"/>
        </w:rPr>
      </w:pPr>
      <w:r w:rsidRPr="00976F12">
        <w:rPr>
          <w:rFonts w:ascii="Calibri" w:eastAsia="Times New Roman" w:hAnsi="Calibri"/>
          <w:color w:val="000000"/>
        </w:rPr>
        <w:t xml:space="preserve">All graduate students who have accumulated 9+ hours will be reviewed by all graduate </w:t>
      </w:r>
      <w:r w:rsidR="00976F12">
        <w:rPr>
          <w:rFonts w:ascii="Calibri" w:eastAsia="Times New Roman" w:hAnsi="Calibri"/>
          <w:color w:val="000000"/>
        </w:rPr>
        <w:t xml:space="preserve">faculty in the spring semester. </w:t>
      </w:r>
    </w:p>
    <w:p w14:paraId="6CF3110F" w14:textId="7EE41D79" w:rsidR="005327D8" w:rsidRPr="00976F12" w:rsidRDefault="005327D8" w:rsidP="005327D8">
      <w:pPr>
        <w:numPr>
          <w:ilvl w:val="0"/>
          <w:numId w:val="1"/>
        </w:numPr>
        <w:spacing w:before="100" w:beforeAutospacing="1" w:after="100" w:afterAutospacing="1"/>
        <w:rPr>
          <w:rFonts w:ascii="Calibri" w:eastAsia="Times New Roman" w:hAnsi="Calibri"/>
          <w:color w:val="000000"/>
        </w:rPr>
      </w:pPr>
      <w:r w:rsidRPr="00976F12">
        <w:rPr>
          <w:rFonts w:ascii="Calibri" w:eastAsia="Times New Roman" w:hAnsi="Calibri"/>
          <w:color w:val="000000"/>
        </w:rPr>
        <w:t>For each student, faculty will gather information on GPA and other academic and professional development as part of the review process.  Faculty will use the Graduate Student Annual Review of Progress (GSA</w:t>
      </w:r>
      <w:r w:rsidR="00976F12" w:rsidRPr="00976F12">
        <w:rPr>
          <w:rFonts w:ascii="Calibri" w:eastAsia="Times New Roman" w:hAnsi="Calibri"/>
          <w:color w:val="000000"/>
        </w:rPr>
        <w:t>R</w:t>
      </w:r>
      <w:r w:rsidRPr="00976F12">
        <w:rPr>
          <w:rFonts w:ascii="Calibri" w:eastAsia="Times New Roman" w:hAnsi="Calibri"/>
          <w:color w:val="000000"/>
        </w:rPr>
        <w:t>P) Qualtrics instrument as the primary d</w:t>
      </w:r>
      <w:r w:rsidR="0094490A">
        <w:rPr>
          <w:rFonts w:ascii="Calibri" w:eastAsia="Times New Roman" w:hAnsi="Calibri"/>
          <w:color w:val="000000"/>
        </w:rPr>
        <w:t>ocument for the annual review. </w:t>
      </w:r>
      <w:r w:rsidR="00BD2C31">
        <w:rPr>
          <w:rFonts w:ascii="Calibri" w:eastAsia="Times New Roman" w:hAnsi="Calibri"/>
          <w:color w:val="000000"/>
        </w:rPr>
        <w:t>The following performance categories are included in the instrument:</w:t>
      </w:r>
    </w:p>
    <w:p w14:paraId="43E25BB8" w14:textId="77777777" w:rsidR="005327D8" w:rsidRPr="0030551F" w:rsidRDefault="005327D8" w:rsidP="005327D8">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Academic Course Performance (GPA)</w:t>
      </w:r>
    </w:p>
    <w:p w14:paraId="5DE571A4" w14:textId="77777777" w:rsidR="005327D8" w:rsidRPr="0030551F" w:rsidRDefault="005327D8" w:rsidP="005327D8">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Clinical/Counseling Skills and Abilities I: Counseling/therapy skills</w:t>
      </w:r>
    </w:p>
    <w:p w14:paraId="46458B93" w14:textId="77777777" w:rsidR="005327D8" w:rsidRPr="0030551F" w:rsidRDefault="005327D8" w:rsidP="005327D8">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Clinical/Counseling Skills and Abilities II: Assessment skills</w:t>
      </w:r>
    </w:p>
    <w:p w14:paraId="75086EED" w14:textId="77777777" w:rsidR="005327D8" w:rsidRPr="0030551F" w:rsidRDefault="005327D8" w:rsidP="005327D8">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Professional/Ethical Responsibility</w:t>
      </w:r>
    </w:p>
    <w:p w14:paraId="5F9462D9" w14:textId="77777777" w:rsidR="005327D8" w:rsidRPr="0030551F" w:rsidRDefault="005327D8" w:rsidP="005327D8">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Maturity</w:t>
      </w:r>
    </w:p>
    <w:p w14:paraId="5AA0F646" w14:textId="77777777" w:rsidR="005327D8" w:rsidRPr="0030551F" w:rsidRDefault="005327D8" w:rsidP="005327D8">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Integrity</w:t>
      </w:r>
    </w:p>
    <w:p w14:paraId="6C14B44B" w14:textId="104BAD43" w:rsidR="005327D8" w:rsidRPr="0030551F" w:rsidRDefault="005327D8" w:rsidP="005327D8">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Other activities and accomplishments</w:t>
      </w:r>
    </w:p>
    <w:p w14:paraId="42429205" w14:textId="6FA979AA" w:rsidR="00BD2C31" w:rsidRPr="0030551F" w:rsidRDefault="00BD2C31" w:rsidP="005327D8">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Overall performance</w:t>
      </w:r>
    </w:p>
    <w:p w14:paraId="2872B036" w14:textId="3BC335BF" w:rsidR="00BD2C31" w:rsidRPr="0030551F" w:rsidRDefault="00BD2C31" w:rsidP="00BD2C31">
      <w:pPr>
        <w:numPr>
          <w:ilvl w:val="1"/>
          <w:numId w:val="1"/>
        </w:numPr>
        <w:spacing w:before="100" w:beforeAutospacing="1" w:after="100" w:afterAutospacing="1"/>
        <w:rPr>
          <w:rFonts w:ascii="Calibri" w:eastAsia="Times New Roman" w:hAnsi="Calibri"/>
          <w:color w:val="000000"/>
          <w:sz w:val="20"/>
        </w:rPr>
      </w:pPr>
      <w:r w:rsidRPr="0030551F">
        <w:rPr>
          <w:rFonts w:ascii="Calibri" w:eastAsia="Times New Roman" w:hAnsi="Calibri"/>
          <w:color w:val="000000"/>
          <w:sz w:val="20"/>
        </w:rPr>
        <w:t>Disposition (for ratings less than Meets Expectations)</w:t>
      </w:r>
    </w:p>
    <w:p w14:paraId="71558B6B" w14:textId="5131DBA8" w:rsidR="005327D8" w:rsidRPr="00976F12" w:rsidRDefault="005327D8" w:rsidP="005327D8">
      <w:pPr>
        <w:numPr>
          <w:ilvl w:val="0"/>
          <w:numId w:val="1"/>
        </w:numPr>
        <w:spacing w:before="100" w:beforeAutospacing="1" w:after="100" w:afterAutospacing="1"/>
        <w:rPr>
          <w:rFonts w:ascii="Calibri" w:eastAsia="Times New Roman" w:hAnsi="Calibri"/>
          <w:color w:val="000000"/>
        </w:rPr>
      </w:pPr>
      <w:r w:rsidRPr="00976F12">
        <w:rPr>
          <w:rFonts w:ascii="Calibri" w:eastAsia="Times New Roman" w:hAnsi="Calibri"/>
          <w:color w:val="000000"/>
        </w:rPr>
        <w:t>For each GSA</w:t>
      </w:r>
      <w:r w:rsidR="00976F12" w:rsidRPr="00976F12">
        <w:rPr>
          <w:rFonts w:ascii="Calibri" w:eastAsia="Times New Roman" w:hAnsi="Calibri"/>
          <w:color w:val="000000"/>
        </w:rPr>
        <w:t>R</w:t>
      </w:r>
      <w:r w:rsidRPr="00976F12">
        <w:rPr>
          <w:rFonts w:ascii="Calibri" w:eastAsia="Times New Roman" w:hAnsi="Calibri"/>
          <w:color w:val="000000"/>
        </w:rPr>
        <w:t xml:space="preserve">P domain, </w:t>
      </w:r>
      <w:r w:rsidR="00976F12" w:rsidRPr="00976F12">
        <w:rPr>
          <w:rFonts w:ascii="Calibri" w:eastAsia="Times New Roman" w:hAnsi="Calibri"/>
          <w:color w:val="000000"/>
        </w:rPr>
        <w:t xml:space="preserve">the </w:t>
      </w:r>
      <w:r w:rsidR="00BD2C31">
        <w:rPr>
          <w:rFonts w:ascii="Calibri" w:eastAsia="Times New Roman" w:hAnsi="Calibri"/>
          <w:color w:val="000000"/>
        </w:rPr>
        <w:t xml:space="preserve">graduate </w:t>
      </w:r>
      <w:r w:rsidRPr="00976F12">
        <w:rPr>
          <w:rFonts w:ascii="Calibri" w:eastAsia="Times New Roman" w:hAnsi="Calibri"/>
          <w:color w:val="000000"/>
        </w:rPr>
        <w:t xml:space="preserve">faculty </w:t>
      </w:r>
      <w:r w:rsidR="00976F12" w:rsidRPr="00976F12">
        <w:rPr>
          <w:rFonts w:ascii="Calibri" w:eastAsia="Times New Roman" w:hAnsi="Calibri"/>
          <w:color w:val="000000"/>
        </w:rPr>
        <w:t xml:space="preserve">review group </w:t>
      </w:r>
      <w:r w:rsidRPr="00976F12">
        <w:rPr>
          <w:rFonts w:ascii="Calibri" w:eastAsia="Times New Roman" w:hAnsi="Calibri"/>
          <w:color w:val="000000"/>
        </w:rPr>
        <w:t>will discuss each student</w:t>
      </w:r>
      <w:r w:rsidR="00BD2C31">
        <w:rPr>
          <w:rFonts w:ascii="Calibri" w:eastAsia="Times New Roman" w:hAnsi="Calibri"/>
          <w:color w:val="000000"/>
        </w:rPr>
        <w:t>’s performance across the domains above,</w:t>
      </w:r>
      <w:r w:rsidRPr="00976F12">
        <w:rPr>
          <w:rFonts w:ascii="Calibri" w:eastAsia="Times New Roman" w:hAnsi="Calibri"/>
          <w:color w:val="000000"/>
        </w:rPr>
        <w:t xml:space="preserve"> and then assign a rating for that area of development.  The categories of performance will be: Exceeds Expectations, Meets Expectations, Progressing</w:t>
      </w:r>
      <w:r w:rsidR="00976F12">
        <w:rPr>
          <w:rFonts w:ascii="Calibri" w:eastAsia="Times New Roman" w:hAnsi="Calibri"/>
          <w:color w:val="000000"/>
        </w:rPr>
        <w:t xml:space="preserve"> Towards Expectations, </w:t>
      </w:r>
      <w:proofErr w:type="gramStart"/>
      <w:r w:rsidRPr="00976F12">
        <w:rPr>
          <w:rFonts w:ascii="Calibri" w:eastAsia="Times New Roman" w:hAnsi="Calibri"/>
          <w:color w:val="000000"/>
        </w:rPr>
        <w:t>Does</w:t>
      </w:r>
      <w:proofErr w:type="gramEnd"/>
      <w:r w:rsidRPr="00976F12">
        <w:rPr>
          <w:rFonts w:ascii="Calibri" w:eastAsia="Times New Roman" w:hAnsi="Calibri"/>
          <w:color w:val="000000"/>
        </w:rPr>
        <w:t xml:space="preserve"> not Meet Expectations</w:t>
      </w:r>
      <w:r w:rsidR="00976F12">
        <w:rPr>
          <w:rFonts w:ascii="Calibri" w:eastAsia="Times New Roman" w:hAnsi="Calibri"/>
          <w:color w:val="000000"/>
        </w:rPr>
        <w:t>, or No Basis for Rating</w:t>
      </w:r>
      <w:r w:rsidRPr="00976F12">
        <w:rPr>
          <w:rFonts w:ascii="Calibri" w:eastAsia="Times New Roman" w:hAnsi="Calibri"/>
          <w:color w:val="000000"/>
        </w:rPr>
        <w:t xml:space="preserve">. Where possible behavioral descriptions of the domain shall be used.  When any rating is below Meets Expectations, specific indicators that are the basis for the rating will be included </w:t>
      </w:r>
      <w:r w:rsidR="00976F12" w:rsidRPr="00976F12">
        <w:rPr>
          <w:rFonts w:ascii="Calibri" w:eastAsia="Times New Roman" w:hAnsi="Calibri"/>
          <w:color w:val="000000"/>
        </w:rPr>
        <w:t>as Comments on the GSAR</w:t>
      </w:r>
      <w:r w:rsidRPr="00976F12">
        <w:rPr>
          <w:rFonts w:ascii="Calibri" w:eastAsia="Times New Roman" w:hAnsi="Calibri"/>
          <w:color w:val="000000"/>
        </w:rPr>
        <w:t>P.</w:t>
      </w:r>
    </w:p>
    <w:p w14:paraId="79D2708B" w14:textId="2332D31A" w:rsidR="005327D8" w:rsidRPr="00976F12" w:rsidRDefault="005327D8" w:rsidP="005327D8">
      <w:pPr>
        <w:numPr>
          <w:ilvl w:val="0"/>
          <w:numId w:val="1"/>
        </w:numPr>
        <w:spacing w:before="100" w:beforeAutospacing="1" w:after="100" w:afterAutospacing="1"/>
        <w:rPr>
          <w:rFonts w:ascii="Calibri" w:eastAsia="Times New Roman" w:hAnsi="Calibri"/>
          <w:color w:val="000000"/>
        </w:rPr>
      </w:pPr>
      <w:r w:rsidRPr="00976F12">
        <w:rPr>
          <w:rFonts w:ascii="Calibri" w:eastAsia="Times New Roman" w:hAnsi="Calibri"/>
          <w:color w:val="000000"/>
        </w:rPr>
        <w:t>After the GSA</w:t>
      </w:r>
      <w:r w:rsidR="00976F12" w:rsidRPr="00976F12">
        <w:rPr>
          <w:rFonts w:ascii="Calibri" w:eastAsia="Times New Roman" w:hAnsi="Calibri"/>
          <w:color w:val="000000"/>
        </w:rPr>
        <w:t>R</w:t>
      </w:r>
      <w:r w:rsidRPr="00976F12">
        <w:rPr>
          <w:rFonts w:ascii="Calibri" w:eastAsia="Times New Roman" w:hAnsi="Calibri"/>
          <w:color w:val="000000"/>
        </w:rPr>
        <w:t>P is complete, program faculty will assign an overall rating for student progres</w:t>
      </w:r>
      <w:r w:rsidR="00BD2C31">
        <w:rPr>
          <w:rFonts w:ascii="Calibri" w:eastAsia="Times New Roman" w:hAnsi="Calibri"/>
          <w:color w:val="000000"/>
        </w:rPr>
        <w:t>s.  The overall ratings will be</w:t>
      </w:r>
      <w:r w:rsidRPr="00976F12">
        <w:rPr>
          <w:rFonts w:ascii="Calibri" w:eastAsia="Times New Roman" w:hAnsi="Calibri"/>
          <w:color w:val="000000"/>
        </w:rPr>
        <w:t>: Exceeds Expectations</w:t>
      </w:r>
      <w:r w:rsidR="00BD2C31">
        <w:rPr>
          <w:rFonts w:ascii="Calibri" w:eastAsia="Times New Roman" w:hAnsi="Calibri"/>
          <w:color w:val="000000"/>
        </w:rPr>
        <w:t>, Meets Expectations, Progressi</w:t>
      </w:r>
      <w:r w:rsidRPr="00976F12">
        <w:rPr>
          <w:rFonts w:ascii="Calibri" w:eastAsia="Times New Roman" w:hAnsi="Calibri"/>
          <w:color w:val="000000"/>
        </w:rPr>
        <w:t>n</w:t>
      </w:r>
      <w:r w:rsidR="00BD2C31">
        <w:rPr>
          <w:rFonts w:ascii="Calibri" w:eastAsia="Times New Roman" w:hAnsi="Calibri"/>
          <w:color w:val="000000"/>
        </w:rPr>
        <w:t>g Toward</w:t>
      </w:r>
      <w:r w:rsidRPr="00976F12">
        <w:rPr>
          <w:rFonts w:ascii="Calibri" w:eastAsia="Times New Roman" w:hAnsi="Calibri"/>
          <w:color w:val="000000"/>
        </w:rPr>
        <w:t xml:space="preserve"> Expectations, or Does not Meet Expectations.  </w:t>
      </w:r>
    </w:p>
    <w:p w14:paraId="19347B43" w14:textId="4B67FBBB" w:rsidR="005327D8" w:rsidRDefault="005327D8" w:rsidP="00766799">
      <w:pPr>
        <w:numPr>
          <w:ilvl w:val="0"/>
          <w:numId w:val="1"/>
        </w:numPr>
        <w:spacing w:before="100" w:beforeAutospacing="1" w:after="100" w:afterAutospacing="1"/>
        <w:rPr>
          <w:rFonts w:ascii="Calibri" w:eastAsia="Times New Roman" w:hAnsi="Calibri"/>
          <w:color w:val="000000"/>
        </w:rPr>
      </w:pPr>
      <w:r w:rsidRPr="00976F12">
        <w:rPr>
          <w:rFonts w:ascii="Calibri" w:eastAsia="Times New Roman" w:hAnsi="Calibri"/>
          <w:color w:val="000000"/>
        </w:rPr>
        <w:t>If a student receives an overall rating below Meets Expectations, then there will be a formal Di</w:t>
      </w:r>
      <w:r w:rsidR="00976F12" w:rsidRPr="00976F12">
        <w:rPr>
          <w:rFonts w:ascii="Calibri" w:eastAsia="Times New Roman" w:hAnsi="Calibri"/>
          <w:color w:val="000000"/>
        </w:rPr>
        <w:t>sposition indicated on the GSAR</w:t>
      </w:r>
      <w:r w:rsidRPr="00976F12">
        <w:rPr>
          <w:rFonts w:ascii="Calibri" w:eastAsia="Times New Roman" w:hAnsi="Calibri"/>
          <w:color w:val="000000"/>
        </w:rPr>
        <w:t xml:space="preserve">P. The options for Disposition will consist of one or more of the following: </w:t>
      </w:r>
    </w:p>
    <w:p w14:paraId="0DF0706B" w14:textId="77777777" w:rsidR="0030551F" w:rsidRPr="0030551F" w:rsidRDefault="0030551F" w:rsidP="0030551F">
      <w:pPr>
        <w:pStyle w:val="ListParagraph"/>
        <w:keepNext/>
        <w:numPr>
          <w:ilvl w:val="1"/>
          <w:numId w:val="1"/>
        </w:numPr>
        <w:rPr>
          <w:sz w:val="22"/>
        </w:rPr>
      </w:pPr>
      <w:r w:rsidRPr="0030551F">
        <w:rPr>
          <w:sz w:val="22"/>
        </w:rPr>
        <w:t xml:space="preserve">Advisor and/or faculty member(s) meeting with student to review concerns  (1) </w:t>
      </w:r>
    </w:p>
    <w:p w14:paraId="5C1583DF" w14:textId="77777777" w:rsidR="0030551F" w:rsidRPr="0030551F" w:rsidRDefault="0030551F" w:rsidP="0030551F">
      <w:pPr>
        <w:pStyle w:val="ListParagraph"/>
        <w:keepNext/>
        <w:numPr>
          <w:ilvl w:val="1"/>
          <w:numId w:val="1"/>
        </w:numPr>
        <w:rPr>
          <w:sz w:val="22"/>
        </w:rPr>
      </w:pPr>
      <w:r w:rsidRPr="0030551F">
        <w:rPr>
          <w:sz w:val="22"/>
        </w:rPr>
        <w:t xml:space="preserve">Advisor and/or faculty member(s) meeting with student to develop formal remediation plan  (2) </w:t>
      </w:r>
    </w:p>
    <w:p w14:paraId="4070FB65" w14:textId="77777777" w:rsidR="0030551F" w:rsidRPr="0030551F" w:rsidRDefault="0030551F" w:rsidP="0030551F">
      <w:pPr>
        <w:pStyle w:val="ListParagraph"/>
        <w:keepNext/>
        <w:numPr>
          <w:ilvl w:val="1"/>
          <w:numId w:val="1"/>
        </w:numPr>
        <w:rPr>
          <w:sz w:val="22"/>
        </w:rPr>
      </w:pPr>
      <w:r w:rsidRPr="0030551F">
        <w:rPr>
          <w:sz w:val="22"/>
        </w:rPr>
        <w:t xml:space="preserve">Faculty Hearing Panel to formally address concerns  (7) </w:t>
      </w:r>
    </w:p>
    <w:p w14:paraId="4969356C" w14:textId="77777777" w:rsidR="0030551F" w:rsidRPr="0030551F" w:rsidRDefault="0030551F" w:rsidP="0030551F">
      <w:pPr>
        <w:pStyle w:val="ListParagraph"/>
        <w:keepNext/>
        <w:numPr>
          <w:ilvl w:val="1"/>
          <w:numId w:val="1"/>
        </w:numPr>
        <w:rPr>
          <w:sz w:val="22"/>
        </w:rPr>
      </w:pPr>
      <w:r w:rsidRPr="0030551F">
        <w:rPr>
          <w:sz w:val="22"/>
        </w:rPr>
        <w:t xml:space="preserve">Departmental Probation, with remediation plan  (3) </w:t>
      </w:r>
    </w:p>
    <w:p w14:paraId="64334101" w14:textId="77777777" w:rsidR="0030551F" w:rsidRPr="0030551F" w:rsidRDefault="0030551F" w:rsidP="0030551F">
      <w:pPr>
        <w:pStyle w:val="ListParagraph"/>
        <w:keepNext/>
        <w:numPr>
          <w:ilvl w:val="1"/>
          <w:numId w:val="1"/>
        </w:numPr>
        <w:rPr>
          <w:sz w:val="22"/>
        </w:rPr>
      </w:pPr>
      <w:r w:rsidRPr="0030551F">
        <w:rPr>
          <w:sz w:val="22"/>
        </w:rPr>
        <w:t xml:space="preserve">Departmental Suspension, with remediation plan  (4) </w:t>
      </w:r>
    </w:p>
    <w:p w14:paraId="1D51BC3A" w14:textId="77777777" w:rsidR="0030551F" w:rsidRPr="0030551F" w:rsidRDefault="0030551F" w:rsidP="0030551F">
      <w:pPr>
        <w:pStyle w:val="ListParagraph"/>
        <w:keepNext/>
        <w:numPr>
          <w:ilvl w:val="1"/>
          <w:numId w:val="1"/>
        </w:numPr>
        <w:rPr>
          <w:sz w:val="22"/>
        </w:rPr>
      </w:pPr>
      <w:r w:rsidRPr="0030551F">
        <w:rPr>
          <w:sz w:val="22"/>
        </w:rPr>
        <w:t xml:space="preserve">Departmental dismissal from program  (5) </w:t>
      </w:r>
    </w:p>
    <w:p w14:paraId="69F03F08" w14:textId="77756BC9" w:rsidR="0030551F" w:rsidRDefault="0030551F" w:rsidP="0030551F">
      <w:pPr>
        <w:pStyle w:val="ListParagraph"/>
        <w:keepNext/>
        <w:numPr>
          <w:ilvl w:val="1"/>
          <w:numId w:val="1"/>
        </w:numPr>
        <w:rPr>
          <w:sz w:val="22"/>
        </w:rPr>
      </w:pPr>
      <w:r w:rsidRPr="0030551F">
        <w:rPr>
          <w:sz w:val="22"/>
        </w:rPr>
        <w:t>Details for action(s) cited above:  (6) ________________________________________________</w:t>
      </w:r>
    </w:p>
    <w:p w14:paraId="6EB4E5DE" w14:textId="77777777" w:rsidR="0030551F" w:rsidRPr="0030551F" w:rsidRDefault="0030551F" w:rsidP="0030551F">
      <w:pPr>
        <w:pStyle w:val="ListParagraph"/>
        <w:keepNext/>
        <w:ind w:left="1440"/>
        <w:rPr>
          <w:sz w:val="22"/>
        </w:rPr>
      </w:pPr>
    </w:p>
    <w:p w14:paraId="1FF0A611" w14:textId="4BEE115A" w:rsidR="005327D8" w:rsidRPr="0030551F" w:rsidRDefault="00976F12" w:rsidP="0030551F">
      <w:pPr>
        <w:pStyle w:val="ListParagraph"/>
        <w:numPr>
          <w:ilvl w:val="0"/>
          <w:numId w:val="1"/>
        </w:numPr>
        <w:spacing w:before="100" w:beforeAutospacing="1" w:after="100" w:afterAutospacing="1"/>
        <w:rPr>
          <w:rFonts w:ascii="Calibri" w:eastAsia="Times New Roman" w:hAnsi="Calibri"/>
          <w:color w:val="000000"/>
        </w:rPr>
      </w:pPr>
      <w:r w:rsidRPr="0030551F">
        <w:rPr>
          <w:rFonts w:ascii="Calibri" w:eastAsia="Times New Roman" w:hAnsi="Calibri"/>
          <w:color w:val="000000"/>
        </w:rPr>
        <w:t>Completed GSAR</w:t>
      </w:r>
      <w:r w:rsidR="00BD2C31" w:rsidRPr="0030551F">
        <w:rPr>
          <w:rFonts w:ascii="Calibri" w:eastAsia="Times New Roman" w:hAnsi="Calibri"/>
          <w:color w:val="000000"/>
        </w:rPr>
        <w:t xml:space="preserve">P </w:t>
      </w:r>
      <w:r w:rsidR="00275A7C" w:rsidRPr="0030551F">
        <w:rPr>
          <w:rFonts w:ascii="Calibri" w:eastAsia="Times New Roman" w:hAnsi="Calibri"/>
          <w:color w:val="000000"/>
        </w:rPr>
        <w:t>Progress Re</w:t>
      </w:r>
      <w:r w:rsidR="00BD2C31" w:rsidRPr="0030551F">
        <w:rPr>
          <w:rFonts w:ascii="Calibri" w:eastAsia="Times New Roman" w:hAnsi="Calibri"/>
          <w:color w:val="000000"/>
        </w:rPr>
        <w:t>port forms</w:t>
      </w:r>
      <w:r w:rsidR="005327D8" w:rsidRPr="0030551F">
        <w:rPr>
          <w:rFonts w:ascii="Calibri" w:eastAsia="Times New Roman" w:hAnsi="Calibri"/>
          <w:color w:val="000000"/>
        </w:rPr>
        <w:t xml:space="preserve"> will be sent to each student to formally </w:t>
      </w:r>
      <w:r w:rsidRPr="0030551F">
        <w:rPr>
          <w:rFonts w:ascii="Calibri" w:eastAsia="Times New Roman" w:hAnsi="Calibri"/>
          <w:color w:val="000000"/>
        </w:rPr>
        <w:t>communicate the results to them, within 2 weeks of conducting the review.</w:t>
      </w:r>
    </w:p>
    <w:p w14:paraId="532AA086" w14:textId="2DAE260B" w:rsidR="00BD2C31" w:rsidRPr="00BD2C31" w:rsidRDefault="005327D8" w:rsidP="006B3040">
      <w:pPr>
        <w:numPr>
          <w:ilvl w:val="0"/>
          <w:numId w:val="1"/>
        </w:numPr>
        <w:spacing w:before="100" w:beforeAutospacing="1" w:after="100" w:afterAutospacing="1"/>
      </w:pPr>
      <w:r w:rsidRPr="00976F12">
        <w:rPr>
          <w:rFonts w:ascii="Calibri" w:eastAsia="Times New Roman" w:hAnsi="Calibri"/>
          <w:color w:val="000000"/>
        </w:rPr>
        <w:t xml:space="preserve">Students will be </w:t>
      </w:r>
      <w:r w:rsidR="00275A7C">
        <w:rPr>
          <w:rFonts w:ascii="Calibri" w:eastAsia="Times New Roman" w:hAnsi="Calibri"/>
          <w:color w:val="000000"/>
        </w:rPr>
        <w:t xml:space="preserve">directed to </w:t>
      </w:r>
      <w:r w:rsidRPr="00976F12">
        <w:rPr>
          <w:rFonts w:ascii="Calibri" w:eastAsia="Times New Roman" w:hAnsi="Calibri"/>
          <w:color w:val="000000"/>
        </w:rPr>
        <w:t>return a signed copy to the department within 2 weeks of receiving their repor</w:t>
      </w:r>
      <w:r w:rsidR="00BD2C31">
        <w:rPr>
          <w:rFonts w:ascii="Calibri" w:eastAsia="Times New Roman" w:hAnsi="Calibri"/>
          <w:color w:val="000000"/>
        </w:rPr>
        <w:t xml:space="preserve">t. </w:t>
      </w:r>
    </w:p>
    <w:p w14:paraId="6E1F9B70" w14:textId="7FFABACD" w:rsidR="005327D8" w:rsidRPr="00BD2C31" w:rsidRDefault="00BD2C31" w:rsidP="006B3040">
      <w:pPr>
        <w:numPr>
          <w:ilvl w:val="0"/>
          <w:numId w:val="1"/>
        </w:numPr>
        <w:spacing w:before="100" w:beforeAutospacing="1" w:after="100" w:afterAutospacing="1"/>
      </w:pPr>
      <w:r>
        <w:rPr>
          <w:rFonts w:ascii="Calibri" w:eastAsia="Times New Roman" w:hAnsi="Calibri"/>
          <w:color w:val="000000"/>
        </w:rPr>
        <w:t>Students who believe the performance review is inaccurate and/or unfair or biased may submit an appeal letter to the Department Chair, who will oversee a review of the process conducted by the graduate faculty committee. If the Chair upholds the original Progress Report</w:t>
      </w:r>
      <w:r w:rsidR="00275A7C">
        <w:rPr>
          <w:rFonts w:ascii="Calibri" w:eastAsia="Times New Roman" w:hAnsi="Calibri"/>
          <w:color w:val="000000"/>
        </w:rPr>
        <w:t xml:space="preserve"> form</w:t>
      </w:r>
      <w:r>
        <w:rPr>
          <w:rFonts w:ascii="Calibri" w:eastAsia="Times New Roman" w:hAnsi="Calibri"/>
          <w:color w:val="000000"/>
        </w:rPr>
        <w:t xml:space="preserve">, the student may appeal to the Dean of the College of Education and Psychology. At each step, the student must submit their formal appeal letter within three weeks of receiving the report. Appeal decisions must be made within three weeks of receiving the appeal from the student. </w:t>
      </w:r>
    </w:p>
    <w:p w14:paraId="4CB0DC6A" w14:textId="7BEFDED1" w:rsidR="00BD2C31" w:rsidRPr="00976F12" w:rsidRDefault="00BD2C31" w:rsidP="00BD2C31">
      <w:pPr>
        <w:spacing w:before="100" w:beforeAutospacing="1" w:after="100" w:afterAutospacing="1"/>
        <w:ind w:left="360"/>
      </w:pPr>
    </w:p>
    <w:sectPr w:rsidR="00BD2C31" w:rsidRPr="00976F12" w:rsidSect="00BD2C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CF5"/>
    <w:multiLevelType w:val="multilevel"/>
    <w:tmpl w:val="0CD0C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DYwMTIzMTU3MjRR0lEKTi0uzszPAykwrAUATNSeOCwAAAA="/>
  </w:docVars>
  <w:rsids>
    <w:rsidRoot w:val="005327D8"/>
    <w:rsid w:val="000C5C07"/>
    <w:rsid w:val="000F3C12"/>
    <w:rsid w:val="0010645D"/>
    <w:rsid w:val="00275A7C"/>
    <w:rsid w:val="0030551F"/>
    <w:rsid w:val="003B183A"/>
    <w:rsid w:val="00455F59"/>
    <w:rsid w:val="005327D8"/>
    <w:rsid w:val="00600A3A"/>
    <w:rsid w:val="007D27CA"/>
    <w:rsid w:val="00860BFA"/>
    <w:rsid w:val="0094490A"/>
    <w:rsid w:val="00976F12"/>
    <w:rsid w:val="00B55E45"/>
    <w:rsid w:val="00BD2C31"/>
    <w:rsid w:val="00E7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0D38"/>
  <w15:docId w15:val="{F768A1EF-7B2E-458E-9F3A-DEDAC82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27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C6599DB696348AA742D213F0B0C89" ma:contentTypeVersion="13" ma:contentTypeDescription="Create a new document." ma:contentTypeScope="" ma:versionID="5f79fb26c003283721849829abcb7356">
  <xsd:schema xmlns:xsd="http://www.w3.org/2001/XMLSchema" xmlns:xs="http://www.w3.org/2001/XMLSchema" xmlns:p="http://schemas.microsoft.com/office/2006/metadata/properties" xmlns:ns3="c4a51bf8-7d20-41c2-8408-d3c5d1b3f056" xmlns:ns4="8c179694-ff5e-4a15-ad10-b428c9e0a7e5" targetNamespace="http://schemas.microsoft.com/office/2006/metadata/properties" ma:root="true" ma:fieldsID="7d327234fecf9997b22285fae21e6ac7" ns3:_="" ns4:_="">
    <xsd:import namespace="c4a51bf8-7d20-41c2-8408-d3c5d1b3f056"/>
    <xsd:import namespace="8c179694-ff5e-4a15-ad10-b428c9e0a7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51bf8-7d20-41c2-8408-d3c5d1b3f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79694-ff5e-4a15-ad10-b428c9e0a7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0BC81-2253-4D38-B10E-7205BE3C6550}">
  <ds:schemaRefs>
    <ds:schemaRef ds:uri="http://purl.org/dc/terms/"/>
    <ds:schemaRef ds:uri="c4a51bf8-7d20-41c2-8408-d3c5d1b3f056"/>
    <ds:schemaRef ds:uri="http://schemas.openxmlformats.org/package/2006/metadata/core-properties"/>
    <ds:schemaRef ds:uri="http://purl.org/dc/dcmitype/"/>
    <ds:schemaRef ds:uri="http://purl.org/dc/elements/1.1/"/>
    <ds:schemaRef ds:uri="http://schemas.microsoft.com/office/2006/documentManagement/types"/>
    <ds:schemaRef ds:uri="8c179694-ff5e-4a15-ad10-b428c9e0a7e5"/>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C591A47C-E801-46C8-8A25-E0EFF4AA227B}">
  <ds:schemaRefs>
    <ds:schemaRef ds:uri="http://schemas.microsoft.com/sharepoint/v3/contenttype/forms"/>
  </ds:schemaRefs>
</ds:datastoreItem>
</file>

<file path=customXml/itemProps3.xml><?xml version="1.0" encoding="utf-8"?>
<ds:datastoreItem xmlns:ds="http://schemas.openxmlformats.org/officeDocument/2006/customXml" ds:itemID="{C996A055-9E87-457A-9391-ECC21F03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51bf8-7d20-41c2-8408-d3c5d1b3f056"/>
    <ds:schemaRef ds:uri="8c179694-ff5e-4a15-ad10-b428c9e0a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Barké</dc:creator>
  <cp:lastModifiedBy>Taylor Easterling</cp:lastModifiedBy>
  <cp:revision>2</cp:revision>
  <dcterms:created xsi:type="dcterms:W3CDTF">2021-04-26T19:07:00Z</dcterms:created>
  <dcterms:modified xsi:type="dcterms:W3CDTF">2021-04-26T19:07:00Z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0x0101006E6C6599DB696348AA742D213F0B0C89</vt:lpwstr>
  </property>
</Properties>
</file>