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1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339"/>
        <w:gridCol w:w="2883"/>
      </w:tblGrid>
      <w:tr w:rsidR="001C356E" w:rsidRPr="008E0DF2" w14:paraId="4B60A4D4" w14:textId="77777777" w:rsidTr="00F2712E">
        <w:trPr>
          <w:trHeight w:val="169"/>
        </w:trPr>
        <w:tc>
          <w:tcPr>
            <w:tcW w:w="2700" w:type="dxa"/>
            <w:noWrap/>
          </w:tcPr>
          <w:p w14:paraId="100807DB" w14:textId="186D8C43" w:rsidR="001C356E" w:rsidRPr="008E0DF2" w:rsidRDefault="0093725A"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Dr. </w:t>
            </w:r>
            <w:r w:rsidR="001C356E">
              <w:rPr>
                <w:rFonts w:asciiTheme="minorHAnsi" w:hAnsiTheme="minorHAnsi"/>
                <w:sz w:val="20"/>
                <w:szCs w:val="20"/>
              </w:rPr>
              <w:t>Torey Nalbone, Chair</w:t>
            </w:r>
          </w:p>
        </w:tc>
        <w:tc>
          <w:tcPr>
            <w:tcW w:w="2790" w:type="dxa"/>
          </w:tcPr>
          <w:p w14:paraId="1F221C40" w14:textId="77777777" w:rsidR="001C356E" w:rsidRDefault="0093725A"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Steven Idell, Dean*</w:t>
            </w:r>
          </w:p>
        </w:tc>
        <w:tc>
          <w:tcPr>
            <w:tcW w:w="3339" w:type="dxa"/>
          </w:tcPr>
          <w:p w14:paraId="7AA285DC" w14:textId="3C836418" w:rsidR="001C356E" w:rsidRPr="008E0DF2" w:rsidRDefault="0093725A"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Kouider Mokhtari, Ass</w:t>
            </w:r>
            <w:r w:rsidR="00F2712E">
              <w:rPr>
                <w:rFonts w:asciiTheme="minorHAnsi" w:hAnsiTheme="minorHAnsi"/>
                <w:sz w:val="20"/>
                <w:szCs w:val="20"/>
              </w:rPr>
              <w:t>o</w:t>
            </w:r>
            <w:r w:rsidR="001C356E">
              <w:rPr>
                <w:rFonts w:asciiTheme="minorHAnsi" w:hAnsiTheme="minorHAnsi"/>
                <w:sz w:val="20"/>
                <w:szCs w:val="20"/>
              </w:rPr>
              <w:t>c Dean*</w:t>
            </w:r>
          </w:p>
        </w:tc>
        <w:tc>
          <w:tcPr>
            <w:tcW w:w="2883" w:type="dxa"/>
          </w:tcPr>
          <w:p w14:paraId="47F6351E" w14:textId="0C6E2EE8" w:rsidR="001C356E" w:rsidRPr="008E0DF2" w:rsidRDefault="0093725A"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Pr>
                <w:rFonts w:asciiTheme="minorHAnsi" w:hAnsiTheme="minorHAnsi"/>
                <w:sz w:val="20"/>
                <w:szCs w:val="20"/>
              </w:rPr>
              <w:t>Dr.  Alecia Wolf, Asst Dean*</w:t>
            </w:r>
          </w:p>
        </w:tc>
      </w:tr>
      <w:tr w:rsidR="001C356E" w:rsidRPr="008E0DF2" w14:paraId="6D45C321" w14:textId="77777777" w:rsidTr="00F2712E">
        <w:trPr>
          <w:trHeight w:val="202"/>
        </w:trPr>
        <w:tc>
          <w:tcPr>
            <w:tcW w:w="2700" w:type="dxa"/>
          </w:tcPr>
          <w:p w14:paraId="55A02631" w14:textId="69B1D421" w:rsidR="001C356E" w:rsidRPr="00F10667" w:rsidRDefault="0093725A"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Dr. Jessica Holm</w:t>
            </w:r>
            <w:r w:rsidR="001C356E">
              <w:rPr>
                <w:rFonts w:asciiTheme="minorHAnsi" w:hAnsiTheme="minorHAnsi"/>
                <w:sz w:val="20"/>
                <w:szCs w:val="20"/>
              </w:rPr>
              <w:t>,</w:t>
            </w:r>
            <w:r w:rsidR="001C356E" w:rsidRPr="00F10667">
              <w:rPr>
                <w:rFonts w:asciiTheme="minorHAnsi" w:hAnsiTheme="minorHAnsi"/>
                <w:sz w:val="20"/>
                <w:szCs w:val="20"/>
              </w:rPr>
              <w:t xml:space="preserve"> </w:t>
            </w:r>
            <w:r w:rsidR="001C356E">
              <w:rPr>
                <w:rFonts w:asciiTheme="minorHAnsi" w:hAnsiTheme="minorHAnsi"/>
                <w:sz w:val="20"/>
                <w:szCs w:val="20"/>
              </w:rPr>
              <w:t>CEP</w:t>
            </w:r>
          </w:p>
        </w:tc>
        <w:tc>
          <w:tcPr>
            <w:tcW w:w="2790" w:type="dxa"/>
          </w:tcPr>
          <w:p w14:paraId="7BE60315" w14:textId="04C955CD" w:rsidR="001C356E" w:rsidRDefault="0093725A"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Dr. </w:t>
            </w:r>
            <w:r w:rsidR="001C356E">
              <w:rPr>
                <w:rFonts w:asciiTheme="minorHAnsi" w:hAnsiTheme="minorHAnsi"/>
                <w:sz w:val="20"/>
                <w:szCs w:val="20"/>
              </w:rPr>
              <w:t>Annamary Consalvo, CEP</w:t>
            </w:r>
          </w:p>
        </w:tc>
        <w:tc>
          <w:tcPr>
            <w:tcW w:w="3339" w:type="dxa"/>
          </w:tcPr>
          <w:p w14:paraId="4211424D" w14:textId="3EB61100" w:rsidR="001C356E" w:rsidRPr="008E0DF2" w:rsidRDefault="0093725A"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Michael Morris, SCRH</w:t>
            </w:r>
          </w:p>
        </w:tc>
        <w:tc>
          <w:tcPr>
            <w:tcW w:w="2883" w:type="dxa"/>
          </w:tcPr>
          <w:p w14:paraId="2B295F9D" w14:textId="46466CF6" w:rsidR="001C356E" w:rsidRPr="008E0DF2" w:rsidRDefault="0093725A"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1C356E">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1C356E">
              <w:rPr>
                <w:rFonts w:asciiTheme="minorHAnsi" w:hAnsiTheme="minorHAnsi"/>
                <w:color w:val="000000" w:themeColor="text1"/>
                <w:sz w:val="20"/>
                <w:szCs w:val="20"/>
              </w:rPr>
              <w:t>Dr. Anna Kurdowska, SMBS</w:t>
            </w:r>
          </w:p>
        </w:tc>
      </w:tr>
      <w:tr w:rsidR="001C356E" w:rsidRPr="008E0DF2" w14:paraId="09648579" w14:textId="77777777" w:rsidTr="00F2712E">
        <w:trPr>
          <w:trHeight w:val="236"/>
        </w:trPr>
        <w:tc>
          <w:tcPr>
            <w:tcW w:w="2700" w:type="dxa"/>
          </w:tcPr>
          <w:p w14:paraId="285BB290" w14:textId="77777777" w:rsidR="001C356E" w:rsidRPr="00F10667" w:rsidRDefault="0093725A"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 xml:space="preserve">Dr. </w:t>
            </w:r>
            <w:r w:rsidR="001C356E">
              <w:rPr>
                <w:rFonts w:asciiTheme="minorHAnsi" w:hAnsiTheme="minorHAnsi"/>
                <w:color w:val="000000" w:themeColor="text1"/>
                <w:sz w:val="20"/>
                <w:szCs w:val="20"/>
              </w:rPr>
              <w:t>Bill Sorenson, CNHS</w:t>
            </w:r>
          </w:p>
        </w:tc>
        <w:tc>
          <w:tcPr>
            <w:tcW w:w="2790" w:type="dxa"/>
          </w:tcPr>
          <w:p w14:paraId="60DE159A" w14:textId="73019FBC" w:rsidR="001C356E" w:rsidRPr="008E0DF2" w:rsidRDefault="0093725A"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F10667">
              <w:rPr>
                <w:rFonts w:asciiTheme="minorHAnsi" w:hAnsiTheme="minorHAnsi"/>
                <w:sz w:val="20"/>
                <w:szCs w:val="20"/>
              </w:rPr>
              <w:t xml:space="preserve">Dr. </w:t>
            </w:r>
            <w:r w:rsidR="001C356E">
              <w:rPr>
                <w:rFonts w:asciiTheme="minorHAnsi" w:hAnsiTheme="minorHAnsi"/>
                <w:sz w:val="20"/>
                <w:szCs w:val="20"/>
              </w:rPr>
              <w:t>Jenifer Chilton, CNHS</w:t>
            </w:r>
          </w:p>
        </w:tc>
        <w:tc>
          <w:tcPr>
            <w:tcW w:w="3339" w:type="dxa"/>
          </w:tcPr>
          <w:p w14:paraId="42EFA63D" w14:textId="4CC608D7" w:rsidR="001C356E" w:rsidRPr="008E0DF2" w:rsidRDefault="0093725A"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Mary Fischer, SCOB</w:t>
            </w:r>
          </w:p>
        </w:tc>
        <w:tc>
          <w:tcPr>
            <w:tcW w:w="2883" w:type="dxa"/>
          </w:tcPr>
          <w:p w14:paraId="7EC93E35" w14:textId="5A575ABB" w:rsidR="001C356E" w:rsidRPr="008E0DF2" w:rsidRDefault="0093725A" w:rsidP="005728B6">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Pr>
                <w:rFonts w:asciiTheme="minorHAnsi" w:hAnsiTheme="minorHAnsi"/>
                <w:color w:val="000000" w:themeColor="text1"/>
                <w:sz w:val="20"/>
                <w:szCs w:val="20"/>
              </w:rPr>
              <w:t>Dr. Tom Roberts, SCOB</w:t>
            </w:r>
          </w:p>
        </w:tc>
      </w:tr>
      <w:tr w:rsidR="001C356E" w:rsidRPr="008E0DF2" w14:paraId="0A1FDA59" w14:textId="77777777" w:rsidTr="00F2712E">
        <w:trPr>
          <w:trHeight w:val="169"/>
        </w:trPr>
        <w:tc>
          <w:tcPr>
            <w:tcW w:w="2700" w:type="dxa"/>
          </w:tcPr>
          <w:p w14:paraId="70611D24" w14:textId="0C3A5A8F" w:rsidR="001C356E" w:rsidRPr="008E0DF2" w:rsidRDefault="0093725A"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Michael Veronin, FCOP</w:t>
            </w:r>
          </w:p>
        </w:tc>
        <w:tc>
          <w:tcPr>
            <w:tcW w:w="2790" w:type="dxa"/>
          </w:tcPr>
          <w:p w14:paraId="58A7D208" w14:textId="77777777" w:rsidR="001C356E" w:rsidRPr="008E0DF2" w:rsidRDefault="0093725A"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Dr. </w:t>
            </w:r>
            <w:r w:rsidR="001C356E">
              <w:rPr>
                <w:rFonts w:asciiTheme="minorHAnsi" w:hAnsiTheme="minorHAnsi"/>
                <w:sz w:val="20"/>
                <w:szCs w:val="20"/>
              </w:rPr>
              <w:t>Kathy Snella, FCOP</w:t>
            </w:r>
          </w:p>
        </w:tc>
        <w:tc>
          <w:tcPr>
            <w:tcW w:w="3339" w:type="dxa"/>
          </w:tcPr>
          <w:p w14:paraId="393162BC" w14:textId="77777777" w:rsidR="001C356E" w:rsidRPr="00F10667" w:rsidRDefault="0093725A"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Dewane Hughes, CAS</w:t>
            </w:r>
          </w:p>
        </w:tc>
        <w:tc>
          <w:tcPr>
            <w:tcW w:w="2883" w:type="dxa"/>
          </w:tcPr>
          <w:p w14:paraId="36A59A5E" w14:textId="709C200F" w:rsidR="001C356E" w:rsidRPr="008E0DF2" w:rsidRDefault="0093725A"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1C356E">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1C356E">
              <w:rPr>
                <w:rFonts w:asciiTheme="minorHAnsi" w:hAnsiTheme="minorHAnsi"/>
                <w:sz w:val="20"/>
                <w:szCs w:val="20"/>
              </w:rPr>
              <w:t>Dr. Jon Seal, CAS</w:t>
            </w:r>
          </w:p>
        </w:tc>
      </w:tr>
      <w:tr w:rsidR="001C356E" w:rsidRPr="008E0DF2" w14:paraId="2882A7F1" w14:textId="77777777" w:rsidTr="00F2712E">
        <w:trPr>
          <w:trHeight w:val="202"/>
        </w:trPr>
        <w:tc>
          <w:tcPr>
            <w:tcW w:w="2700" w:type="dxa"/>
          </w:tcPr>
          <w:p w14:paraId="030845C7" w14:textId="77777777" w:rsidR="001C356E" w:rsidRPr="008E0DF2" w:rsidRDefault="0093725A"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Hassan El Kishky, COE</w:t>
            </w:r>
          </w:p>
        </w:tc>
        <w:tc>
          <w:tcPr>
            <w:tcW w:w="2790" w:type="dxa"/>
          </w:tcPr>
          <w:p w14:paraId="6F6994AB" w14:textId="7C0771C5" w:rsidR="001C356E" w:rsidRDefault="0093725A"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Gokhan Saygili, COE</w:t>
            </w:r>
          </w:p>
        </w:tc>
        <w:tc>
          <w:tcPr>
            <w:tcW w:w="3339" w:type="dxa"/>
          </w:tcPr>
          <w:p w14:paraId="407958DD" w14:textId="417B37E4" w:rsidR="001C356E" w:rsidRPr="00F10667" w:rsidRDefault="0093725A"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Rebecca McKay Johnson, Lib*</w:t>
            </w:r>
          </w:p>
        </w:tc>
        <w:tc>
          <w:tcPr>
            <w:tcW w:w="2883" w:type="dxa"/>
          </w:tcPr>
          <w:p w14:paraId="0A52E0B1" w14:textId="14F53136" w:rsidR="001C356E" w:rsidRPr="008E0DF2" w:rsidRDefault="0093725A"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Dr. Sam Carrell, RO*</w:t>
            </w:r>
          </w:p>
        </w:tc>
      </w:tr>
      <w:tr w:rsidR="001C356E" w:rsidRPr="008E0DF2" w14:paraId="46F3DB8D" w14:textId="77777777" w:rsidTr="00F2712E">
        <w:trPr>
          <w:trHeight w:val="236"/>
        </w:trPr>
        <w:tc>
          <w:tcPr>
            <w:tcW w:w="2700" w:type="dxa"/>
          </w:tcPr>
          <w:p w14:paraId="37718086" w14:textId="77777777" w:rsidR="001C356E" w:rsidRDefault="0093725A"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Monica Kinzie, SCOB</w:t>
            </w:r>
          </w:p>
        </w:tc>
        <w:tc>
          <w:tcPr>
            <w:tcW w:w="2790" w:type="dxa"/>
          </w:tcPr>
          <w:p w14:paraId="185C6275" w14:textId="77777777" w:rsidR="001C356E" w:rsidRDefault="0093725A"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Pr>
                <w:rFonts w:asciiTheme="minorHAnsi" w:hAnsiTheme="minorHAnsi"/>
                <w:sz w:val="20"/>
                <w:szCs w:val="20"/>
              </w:rPr>
              <w:t>Catherine Watkins, FCOP</w:t>
            </w:r>
          </w:p>
        </w:tc>
        <w:tc>
          <w:tcPr>
            <w:tcW w:w="3339" w:type="dxa"/>
          </w:tcPr>
          <w:p w14:paraId="2B39EAD0" w14:textId="487CD92F" w:rsidR="001C356E" w:rsidRPr="00F10667" w:rsidRDefault="0093725A"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Dr. Erin West, Faculty Senate*</w:t>
            </w:r>
          </w:p>
        </w:tc>
        <w:tc>
          <w:tcPr>
            <w:tcW w:w="2883" w:type="dxa"/>
          </w:tcPr>
          <w:p w14:paraId="67F1EBE7" w14:textId="426AAF42" w:rsidR="001C356E" w:rsidRDefault="0093725A"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Brittani Riley, Grad Adm*</w:t>
            </w:r>
          </w:p>
        </w:tc>
      </w:tr>
      <w:tr w:rsidR="001C356E" w:rsidRPr="008E0DF2" w14:paraId="281AAB14" w14:textId="77777777" w:rsidTr="00F2712E">
        <w:trPr>
          <w:trHeight w:val="126"/>
        </w:trPr>
        <w:tc>
          <w:tcPr>
            <w:tcW w:w="2700" w:type="dxa"/>
          </w:tcPr>
          <w:p w14:paraId="143A99E0" w14:textId="77777777" w:rsidR="001C356E" w:rsidRDefault="0093725A"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
        </w:tc>
        <w:tc>
          <w:tcPr>
            <w:tcW w:w="2790" w:type="dxa"/>
          </w:tcPr>
          <w:p w14:paraId="272DDE33" w14:textId="77777777" w:rsidR="001C356E" w:rsidRDefault="0093725A"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3339" w:type="dxa"/>
          </w:tcPr>
          <w:p w14:paraId="25B20A5E" w14:textId="77777777" w:rsidR="001C356E" w:rsidRPr="00E131C0" w:rsidRDefault="001C356E" w:rsidP="005728B6">
            <w:pPr>
              <w:jc w:val="right"/>
              <w:rPr>
                <w:rFonts w:asciiTheme="minorHAnsi" w:hAnsiTheme="minorHAnsi"/>
                <w:sz w:val="12"/>
                <w:szCs w:val="12"/>
              </w:rPr>
            </w:pPr>
          </w:p>
        </w:tc>
        <w:tc>
          <w:tcPr>
            <w:tcW w:w="2883" w:type="dxa"/>
          </w:tcPr>
          <w:p w14:paraId="3A4488B2" w14:textId="77777777" w:rsidR="001C356E" w:rsidRPr="00E131C0" w:rsidRDefault="001C356E" w:rsidP="005728B6">
            <w:pPr>
              <w:jc w:val="right"/>
              <w:rPr>
                <w:rFonts w:asciiTheme="minorHAnsi" w:hAnsiTheme="minorHAnsi"/>
                <w:sz w:val="10"/>
                <w:szCs w:val="10"/>
              </w:rPr>
            </w:pPr>
            <w:r w:rsidRPr="00E131C0">
              <w:rPr>
                <w:rFonts w:asciiTheme="minorHAnsi" w:hAnsiTheme="minorHAnsi"/>
                <w:sz w:val="10"/>
                <w:szCs w:val="10"/>
              </w:rPr>
              <w:t xml:space="preserve"> * denotes non-voting/</w:t>
            </w:r>
            <w:proofErr w:type="spellStart"/>
            <w:r w:rsidRPr="00E131C0">
              <w:rPr>
                <w:rFonts w:asciiTheme="minorHAnsi" w:hAnsiTheme="minorHAnsi"/>
                <w:sz w:val="10"/>
                <w:szCs w:val="10"/>
              </w:rPr>
              <w:t>ExO</w:t>
            </w:r>
            <w:proofErr w:type="spellEnd"/>
          </w:p>
          <w:p w14:paraId="723CF89E" w14:textId="77777777" w:rsidR="001C356E" w:rsidRPr="00E131C0" w:rsidRDefault="001C356E" w:rsidP="005728B6">
            <w:pPr>
              <w:jc w:val="right"/>
              <w:rPr>
                <w:rFonts w:asciiTheme="minorHAnsi" w:hAnsiTheme="minorHAnsi"/>
                <w:sz w:val="10"/>
                <w:szCs w:val="10"/>
              </w:rPr>
            </w:pPr>
            <w:r w:rsidRPr="00E131C0">
              <w:rPr>
                <w:rFonts w:asciiTheme="minorHAnsi" w:hAnsiTheme="minorHAnsi"/>
                <w:sz w:val="10"/>
                <w:szCs w:val="10"/>
              </w:rPr>
              <w:t>Amanda Whitt, Graduate School Admin Asst*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8280"/>
        <w:gridCol w:w="1080"/>
      </w:tblGrid>
      <w:tr w:rsidR="003B726E" w:rsidRPr="008E0DF2" w14:paraId="7D3AF10D" w14:textId="77777777" w:rsidTr="00A65489">
        <w:tc>
          <w:tcPr>
            <w:tcW w:w="233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10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65489">
        <w:tc>
          <w:tcPr>
            <w:tcW w:w="233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828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1080" w:type="dxa"/>
          </w:tcPr>
          <w:p w14:paraId="5886B89A" w14:textId="7C2B3842" w:rsidR="00627305" w:rsidRPr="008E0DF2" w:rsidRDefault="00627305" w:rsidP="00091A2B">
            <w:pPr>
              <w:rPr>
                <w:rFonts w:asciiTheme="minorHAnsi" w:hAnsiTheme="minorHAnsi"/>
                <w:sz w:val="20"/>
                <w:szCs w:val="20"/>
              </w:rPr>
            </w:pPr>
          </w:p>
        </w:tc>
      </w:tr>
      <w:tr w:rsidR="00753D7D" w:rsidRPr="008E0DF2" w14:paraId="4404C2DF" w14:textId="77777777" w:rsidTr="00A65489">
        <w:trPr>
          <w:trHeight w:val="491"/>
        </w:trPr>
        <w:tc>
          <w:tcPr>
            <w:tcW w:w="233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73729F99"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1080" w:type="dxa"/>
          </w:tcPr>
          <w:p w14:paraId="6A6872B0" w14:textId="09AA056D" w:rsidR="00627305" w:rsidRPr="008E0DF2" w:rsidRDefault="00627305" w:rsidP="00091A2B">
            <w:pPr>
              <w:rPr>
                <w:rFonts w:asciiTheme="minorHAnsi" w:hAnsiTheme="minorHAnsi"/>
                <w:sz w:val="20"/>
                <w:szCs w:val="20"/>
              </w:rPr>
            </w:pPr>
          </w:p>
        </w:tc>
      </w:tr>
      <w:tr w:rsidR="003B726E" w:rsidRPr="008E0DF2" w14:paraId="6E410BF0" w14:textId="77777777" w:rsidTr="00A65489">
        <w:tc>
          <w:tcPr>
            <w:tcW w:w="233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828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A059B13" w14:textId="77777777" w:rsidR="00857263"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sidR="001516AC">
              <w:rPr>
                <w:rFonts w:asciiTheme="minorHAnsi" w:hAnsiTheme="minorHAnsi"/>
                <w:sz w:val="20"/>
                <w:szCs w:val="20"/>
              </w:rPr>
              <w:t xml:space="preserve">; </w:t>
            </w:r>
          </w:p>
          <w:p w14:paraId="11F24BF8" w14:textId="6564CDA8" w:rsidR="0014593A" w:rsidRDefault="00AB024D"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1 recommendation, see attached</w:t>
            </w:r>
          </w:p>
          <w:p w14:paraId="1C3037FF" w14:textId="77777777" w:rsidR="00F96939" w:rsidRPr="00F96939" w:rsidRDefault="00F96939" w:rsidP="00F96939">
            <w:pPr>
              <w:tabs>
                <w:tab w:val="left" w:pos="252"/>
              </w:tabs>
              <w:ind w:left="972"/>
              <w:rPr>
                <w:rFonts w:asciiTheme="minorHAnsi" w:hAnsiTheme="minorHAnsi"/>
                <w:sz w:val="20"/>
                <w:szCs w:val="20"/>
              </w:rPr>
            </w:pPr>
          </w:p>
          <w:p w14:paraId="3461FDEC" w14:textId="3FEFB67F" w:rsidR="00857263" w:rsidRDefault="00106408"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Admission decision inconsistencies &amp; holistic review</w:t>
            </w:r>
            <w:r w:rsidR="00F766CB">
              <w:rPr>
                <w:rFonts w:asciiTheme="minorHAnsi" w:hAnsiTheme="minorHAnsi"/>
                <w:bCs/>
                <w:sz w:val="20"/>
                <w:szCs w:val="20"/>
              </w:rPr>
              <w:t xml:space="preserve"> </w:t>
            </w:r>
          </w:p>
          <w:p w14:paraId="35313CD4" w14:textId="287E2D56" w:rsidR="00652D32" w:rsidRDefault="00E15046" w:rsidP="00E15046">
            <w:pPr>
              <w:pStyle w:val="ListParagraph"/>
              <w:numPr>
                <w:ilvl w:val="1"/>
                <w:numId w:val="24"/>
              </w:numPr>
              <w:tabs>
                <w:tab w:val="left" w:pos="252"/>
              </w:tabs>
              <w:rPr>
                <w:rFonts w:asciiTheme="minorHAnsi" w:hAnsiTheme="minorHAnsi"/>
                <w:bCs/>
                <w:sz w:val="20"/>
                <w:szCs w:val="20"/>
              </w:rPr>
            </w:pPr>
            <w:r w:rsidRPr="00E15046">
              <w:rPr>
                <w:rFonts w:asciiTheme="minorHAnsi" w:hAnsiTheme="minorHAnsi"/>
                <w:bCs/>
                <w:sz w:val="20"/>
                <w:szCs w:val="20"/>
              </w:rPr>
              <w:t>At their discretion, academic departments may add language to their admission criteria that allows specific requirements to be waived based on a student’s academic performance in their provisional semester. That performance threshold (indicated by the student’s grade point average) must be significantly above the minimum 3.0 GPA required for good standing in a graduate program and demonstrate beyond reasonable doubt that the student will continue successfully through the program. As with any admission criteria change, appropriate forms and approvals are necessary before new language may be added. Academic departments are encouraged to check with any program-specific accreditation standards prior to setting their threshold.</w:t>
            </w:r>
          </w:p>
          <w:p w14:paraId="0B9E13D6" w14:textId="77777777" w:rsidR="00E15046" w:rsidRPr="00E15046" w:rsidRDefault="00E15046" w:rsidP="00E15046">
            <w:pPr>
              <w:tabs>
                <w:tab w:val="left" w:pos="252"/>
              </w:tabs>
              <w:ind w:left="972"/>
              <w:rPr>
                <w:rFonts w:asciiTheme="minorHAnsi" w:hAnsiTheme="minorHAnsi"/>
                <w:bCs/>
                <w:sz w:val="20"/>
                <w:szCs w:val="20"/>
              </w:rPr>
            </w:pPr>
          </w:p>
          <w:p w14:paraId="14114808" w14:textId="167CD41F" w:rsidR="00857263" w:rsidRDefault="000A7C74"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Admission Appeal Subcommittee (AAS)</w:t>
            </w:r>
          </w:p>
          <w:p w14:paraId="415D4521" w14:textId="38CB796A" w:rsidR="001516AC" w:rsidRDefault="00224757"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 xml:space="preserve">Update wording - </w:t>
            </w:r>
            <w:r w:rsidRPr="00224757">
              <w:rPr>
                <w:rFonts w:asciiTheme="minorHAnsi" w:hAnsiTheme="minorHAnsi"/>
                <w:bCs/>
                <w:sz w:val="20"/>
                <w:szCs w:val="20"/>
              </w:rPr>
              <w:t xml:space="preserve">“In the event an appeal rises to the level of the Admission Appeal Subcommittee, The Graduate Council Chair will appoint an ad hoc committee comprised of </w:t>
            </w:r>
            <w:r w:rsidR="00CD6787">
              <w:rPr>
                <w:rFonts w:asciiTheme="minorHAnsi" w:hAnsiTheme="minorHAnsi"/>
                <w:bCs/>
                <w:sz w:val="20"/>
                <w:szCs w:val="20"/>
              </w:rPr>
              <w:t xml:space="preserve">three </w:t>
            </w:r>
            <w:r w:rsidRPr="00224757">
              <w:rPr>
                <w:rFonts w:asciiTheme="minorHAnsi" w:hAnsiTheme="minorHAnsi"/>
                <w:bCs/>
                <w:sz w:val="20"/>
                <w:szCs w:val="20"/>
              </w:rPr>
              <w:t>voting Graduate Council members. Committee members will not be from the same department as the denying program.”</w:t>
            </w:r>
          </w:p>
          <w:p w14:paraId="7A7CBF24" w14:textId="4E1DEF08" w:rsidR="00B0171B" w:rsidRPr="000A7C74" w:rsidRDefault="00B0171B" w:rsidP="000A7C74">
            <w:pPr>
              <w:tabs>
                <w:tab w:val="left" w:pos="252"/>
              </w:tabs>
              <w:rPr>
                <w:rFonts w:asciiTheme="minorHAnsi" w:hAnsiTheme="minorHAnsi"/>
                <w:bCs/>
                <w:sz w:val="20"/>
                <w:szCs w:val="20"/>
              </w:rPr>
            </w:pPr>
          </w:p>
        </w:tc>
        <w:tc>
          <w:tcPr>
            <w:tcW w:w="1080" w:type="dxa"/>
          </w:tcPr>
          <w:p w14:paraId="7CB32729" w14:textId="77777777" w:rsidR="003327CE" w:rsidRDefault="003327CE" w:rsidP="003327CE">
            <w:pPr>
              <w:rPr>
                <w:rFonts w:asciiTheme="minorHAnsi" w:hAnsiTheme="minorHAnsi"/>
                <w:sz w:val="20"/>
                <w:szCs w:val="20"/>
              </w:rPr>
            </w:pPr>
          </w:p>
          <w:p w14:paraId="0D062BB2" w14:textId="77777777" w:rsidR="003327CE" w:rsidRDefault="003327CE" w:rsidP="003327CE">
            <w:pPr>
              <w:rPr>
                <w:rFonts w:asciiTheme="minorHAnsi" w:hAnsiTheme="minorHAnsi"/>
                <w:sz w:val="20"/>
                <w:szCs w:val="20"/>
              </w:rPr>
            </w:pPr>
          </w:p>
          <w:p w14:paraId="2E564CD2" w14:textId="77777777" w:rsidR="003327CE" w:rsidRDefault="003327CE" w:rsidP="003327CE">
            <w:pPr>
              <w:rPr>
                <w:rFonts w:asciiTheme="minorHAnsi" w:hAnsiTheme="minorHAnsi"/>
                <w:sz w:val="20"/>
                <w:szCs w:val="20"/>
              </w:rPr>
            </w:pPr>
          </w:p>
          <w:p w14:paraId="1EBDB121" w14:textId="2E1EC3A5" w:rsidR="003327CE" w:rsidRPr="001516AC" w:rsidRDefault="003327CE" w:rsidP="001516AC">
            <w:pPr>
              <w:ind w:left="360"/>
              <w:rPr>
                <w:rFonts w:asciiTheme="minorHAnsi" w:hAnsiTheme="minorHAnsi"/>
                <w:sz w:val="20"/>
                <w:szCs w:val="20"/>
              </w:rPr>
            </w:pPr>
          </w:p>
        </w:tc>
      </w:tr>
      <w:tr w:rsidR="003B726E" w:rsidRPr="008E0DF2" w14:paraId="53D74DC4" w14:textId="77777777" w:rsidTr="00A65489">
        <w:trPr>
          <w:trHeight w:val="2108"/>
        </w:trPr>
        <w:tc>
          <w:tcPr>
            <w:tcW w:w="233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8280" w:type="dxa"/>
          </w:tcPr>
          <w:p w14:paraId="29E4EE9D" w14:textId="5BBE8237" w:rsidR="00555970" w:rsidRDefault="000A7C74" w:rsidP="00EA5BBF">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36965352" w14:textId="77777777" w:rsidR="00734983" w:rsidRPr="00734983" w:rsidRDefault="00734983" w:rsidP="00734983">
            <w:pPr>
              <w:tabs>
                <w:tab w:val="left" w:pos="252"/>
              </w:tabs>
              <w:ind w:left="252"/>
              <w:rPr>
                <w:rFonts w:asciiTheme="minorHAnsi" w:hAnsiTheme="minorHAnsi"/>
                <w:sz w:val="20"/>
                <w:szCs w:val="20"/>
              </w:rPr>
            </w:pPr>
          </w:p>
          <w:p w14:paraId="2126AC92" w14:textId="40BD044D" w:rsidR="000722A6" w:rsidRDefault="000A7C74" w:rsidP="00EA5BBF">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Tabled at March meeting to allow Dean Idell to be present at April meeting and bring direction &amp; resolution to: Graduate Research Assistant Task Force Proposal (GRA), Strategic Enrollment Task Force (SEM). Funding questions tie in w/GRA proposal, pending info from the Provost’s office.</w:t>
            </w:r>
          </w:p>
          <w:p w14:paraId="3CF7C60B" w14:textId="77777777" w:rsidR="00652D32" w:rsidRPr="00652D32" w:rsidRDefault="00652D32" w:rsidP="00652D32">
            <w:pPr>
              <w:tabs>
                <w:tab w:val="left" w:pos="252"/>
              </w:tabs>
              <w:ind w:left="972"/>
              <w:rPr>
                <w:rFonts w:asciiTheme="minorHAnsi" w:hAnsiTheme="minorHAnsi"/>
                <w:sz w:val="20"/>
                <w:szCs w:val="20"/>
              </w:rPr>
            </w:pPr>
          </w:p>
          <w:p w14:paraId="2E4CBC5F" w14:textId="318DD39C" w:rsidR="000722A6" w:rsidRDefault="00DC12C0"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Mission/Vision/Goals statement</w:t>
            </w:r>
          </w:p>
          <w:p w14:paraId="28FBC7F6" w14:textId="77777777" w:rsidR="00734983" w:rsidRPr="00734983" w:rsidRDefault="00734983" w:rsidP="00734983">
            <w:pPr>
              <w:tabs>
                <w:tab w:val="left" w:pos="252"/>
              </w:tabs>
              <w:ind w:left="252"/>
              <w:rPr>
                <w:rFonts w:asciiTheme="minorHAnsi" w:hAnsiTheme="minorHAnsi"/>
                <w:sz w:val="20"/>
                <w:szCs w:val="20"/>
              </w:rPr>
            </w:pPr>
          </w:p>
          <w:p w14:paraId="6E791872" w14:textId="37E8258E" w:rsidR="000722A6" w:rsidRDefault="00DC12C0" w:rsidP="000722A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Statement edited to encompass overall mission. </w:t>
            </w:r>
            <w:r w:rsidR="000213F9">
              <w:rPr>
                <w:rFonts w:asciiTheme="minorHAnsi" w:hAnsiTheme="minorHAnsi"/>
                <w:sz w:val="20"/>
                <w:szCs w:val="20"/>
              </w:rPr>
              <w:t>See attached</w:t>
            </w:r>
            <w:r w:rsidR="00F2712E">
              <w:rPr>
                <w:rFonts w:asciiTheme="minorHAnsi" w:hAnsiTheme="minorHAnsi"/>
                <w:sz w:val="20"/>
                <w:szCs w:val="20"/>
              </w:rPr>
              <w:t>. Discuss and vote.</w:t>
            </w:r>
          </w:p>
          <w:p w14:paraId="5009FFC6" w14:textId="77777777" w:rsidR="00652D32" w:rsidRPr="00652D32" w:rsidRDefault="00652D32" w:rsidP="00652D32">
            <w:pPr>
              <w:tabs>
                <w:tab w:val="left" w:pos="252"/>
              </w:tabs>
              <w:ind w:left="972"/>
              <w:rPr>
                <w:rFonts w:asciiTheme="minorHAnsi" w:hAnsiTheme="minorHAnsi"/>
                <w:sz w:val="20"/>
                <w:szCs w:val="20"/>
              </w:rPr>
            </w:pPr>
          </w:p>
          <w:p w14:paraId="5355B44B" w14:textId="75D70F67" w:rsidR="000722A6" w:rsidRDefault="009C59D9"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Academic probation policy </w:t>
            </w:r>
          </w:p>
          <w:p w14:paraId="5676DAC0" w14:textId="77777777" w:rsidR="00734983" w:rsidRPr="00734983" w:rsidRDefault="00734983" w:rsidP="00734983">
            <w:pPr>
              <w:tabs>
                <w:tab w:val="left" w:pos="252"/>
              </w:tabs>
              <w:ind w:left="252"/>
              <w:rPr>
                <w:rFonts w:asciiTheme="minorHAnsi" w:hAnsiTheme="minorHAnsi"/>
                <w:sz w:val="20"/>
                <w:szCs w:val="20"/>
              </w:rPr>
            </w:pPr>
          </w:p>
          <w:p w14:paraId="1F8075FB" w14:textId="0ABD889E" w:rsidR="002E14F6" w:rsidRDefault="002E14F6" w:rsidP="002E14F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Michael Morris distributed policy used at UTHSC and proposed the possibility of consistency across all programs</w:t>
            </w:r>
            <w:r w:rsidR="00BE198D">
              <w:rPr>
                <w:rFonts w:asciiTheme="minorHAnsi" w:hAnsiTheme="minorHAnsi"/>
                <w:sz w:val="20"/>
                <w:szCs w:val="20"/>
              </w:rPr>
              <w:t xml:space="preserve"> for both campuses.</w:t>
            </w:r>
            <w:r w:rsidR="00AF219E">
              <w:rPr>
                <w:rFonts w:asciiTheme="minorHAnsi" w:hAnsiTheme="minorHAnsi"/>
                <w:sz w:val="20"/>
                <w:szCs w:val="20"/>
              </w:rPr>
              <w:t xml:space="preserve"> Discuss and vote.</w:t>
            </w:r>
          </w:p>
          <w:p w14:paraId="74C12189" w14:textId="77777777" w:rsidR="00652D32" w:rsidRPr="00652D32" w:rsidRDefault="00652D32" w:rsidP="00652D32">
            <w:pPr>
              <w:tabs>
                <w:tab w:val="left" w:pos="252"/>
              </w:tabs>
              <w:ind w:left="252"/>
              <w:rPr>
                <w:rFonts w:asciiTheme="minorHAnsi" w:hAnsiTheme="minorHAnsi"/>
                <w:sz w:val="20"/>
                <w:szCs w:val="20"/>
              </w:rPr>
            </w:pPr>
          </w:p>
          <w:p w14:paraId="4B553CC9" w14:textId="63993A13" w:rsidR="00BE198D" w:rsidRDefault="00BE198D"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Roles, qualifications, and responsibilities of graduate advisors/coordinators</w:t>
            </w:r>
          </w:p>
          <w:p w14:paraId="0855CD36" w14:textId="77777777" w:rsidR="00734983" w:rsidRPr="00734983" w:rsidRDefault="00734983" w:rsidP="00734983">
            <w:pPr>
              <w:tabs>
                <w:tab w:val="left" w:pos="252"/>
              </w:tabs>
              <w:ind w:left="252"/>
              <w:rPr>
                <w:rFonts w:asciiTheme="minorHAnsi" w:hAnsiTheme="minorHAnsi"/>
                <w:sz w:val="20"/>
                <w:szCs w:val="20"/>
              </w:rPr>
            </w:pPr>
          </w:p>
          <w:p w14:paraId="0854349C" w14:textId="12E1ED7A" w:rsidR="002D67DA" w:rsidRPr="004E1295" w:rsidRDefault="00BE198D" w:rsidP="00BE198D">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See attached draft policy and procedure document</w:t>
            </w:r>
            <w:r w:rsidR="00F2712E">
              <w:rPr>
                <w:rFonts w:asciiTheme="minorHAnsi" w:hAnsiTheme="minorHAnsi"/>
                <w:sz w:val="20"/>
                <w:szCs w:val="20"/>
              </w:rPr>
              <w:t>. Discuss and vote.</w:t>
            </w:r>
          </w:p>
        </w:tc>
        <w:tc>
          <w:tcPr>
            <w:tcW w:w="1080" w:type="dxa"/>
          </w:tcPr>
          <w:p w14:paraId="21730018" w14:textId="3D6F7C06" w:rsidR="00154AB6" w:rsidRPr="000722A6" w:rsidRDefault="00154AB6" w:rsidP="000722A6">
            <w:pPr>
              <w:ind w:left="360"/>
              <w:rPr>
                <w:rFonts w:asciiTheme="minorHAnsi" w:hAnsiTheme="minorHAnsi"/>
                <w:sz w:val="20"/>
                <w:szCs w:val="20"/>
              </w:rPr>
            </w:pPr>
          </w:p>
        </w:tc>
      </w:tr>
      <w:tr w:rsidR="00414C98" w:rsidRPr="008E0DF2" w14:paraId="04049434" w14:textId="77777777" w:rsidTr="00A65489">
        <w:tc>
          <w:tcPr>
            <w:tcW w:w="233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01EADDB3" w14:textId="170AE401" w:rsidR="00F2712E" w:rsidRDefault="00F2712E" w:rsidP="00F2712E">
            <w:pPr>
              <w:ind w:left="252"/>
              <w:rPr>
                <w:rFonts w:asciiTheme="minorHAnsi" w:hAnsiTheme="minorHAnsi"/>
                <w:bCs/>
                <w:sz w:val="20"/>
                <w:szCs w:val="20"/>
              </w:rPr>
            </w:pPr>
            <w:bookmarkStart w:id="1" w:name="_Hlk50454255"/>
            <w:r>
              <w:rPr>
                <w:rFonts w:asciiTheme="minorHAnsi" w:hAnsiTheme="minorHAnsi"/>
                <w:bCs/>
                <w:sz w:val="20"/>
                <w:szCs w:val="20"/>
              </w:rPr>
              <w:t>Tasks for the foreseeable future</w:t>
            </w:r>
          </w:p>
          <w:p w14:paraId="336501C3" w14:textId="330C0A4B" w:rsidR="00F956D1" w:rsidRDefault="00BE198D" w:rsidP="00EA5BBF">
            <w:pPr>
              <w:numPr>
                <w:ilvl w:val="0"/>
                <w:numId w:val="7"/>
              </w:numPr>
              <w:rPr>
                <w:rFonts w:asciiTheme="minorHAnsi" w:hAnsiTheme="minorHAnsi"/>
                <w:bCs/>
                <w:sz w:val="20"/>
                <w:szCs w:val="20"/>
              </w:rPr>
            </w:pPr>
            <w:r>
              <w:rPr>
                <w:rFonts w:asciiTheme="minorHAnsi" w:hAnsiTheme="minorHAnsi"/>
                <w:bCs/>
                <w:sz w:val="20"/>
                <w:szCs w:val="20"/>
              </w:rPr>
              <w:t>Graduate program policies</w:t>
            </w:r>
            <w:r w:rsidR="00F2712E">
              <w:rPr>
                <w:rFonts w:asciiTheme="minorHAnsi" w:hAnsiTheme="minorHAnsi"/>
                <w:bCs/>
                <w:sz w:val="20"/>
                <w:szCs w:val="20"/>
              </w:rPr>
              <w:t>. To be reviewed and updated and brought back to GC for final review</w:t>
            </w:r>
          </w:p>
          <w:p w14:paraId="2FA31CE0" w14:textId="6AF281FA" w:rsidR="005176D2" w:rsidRDefault="00F2712E" w:rsidP="005176D2">
            <w:pPr>
              <w:numPr>
                <w:ilvl w:val="0"/>
                <w:numId w:val="7"/>
              </w:numPr>
              <w:rPr>
                <w:rFonts w:asciiTheme="minorHAnsi" w:hAnsiTheme="minorHAnsi"/>
                <w:bCs/>
                <w:sz w:val="20"/>
                <w:szCs w:val="20"/>
              </w:rPr>
            </w:pPr>
            <w:r>
              <w:rPr>
                <w:rFonts w:asciiTheme="minorHAnsi" w:hAnsiTheme="minorHAnsi"/>
                <w:bCs/>
                <w:sz w:val="20"/>
                <w:szCs w:val="20"/>
              </w:rPr>
              <w:t>Catalog/website admission policy congruence. Dr. Idell emailed deans to verify</w:t>
            </w:r>
            <w:r w:rsidR="00A55927">
              <w:rPr>
                <w:rFonts w:asciiTheme="minorHAnsi" w:hAnsiTheme="minorHAnsi"/>
                <w:bCs/>
                <w:sz w:val="20"/>
                <w:szCs w:val="20"/>
              </w:rPr>
              <w:t xml:space="preserve"> </w:t>
            </w:r>
          </w:p>
          <w:p w14:paraId="798322DC" w14:textId="039A58D0" w:rsidR="00F766CB" w:rsidRDefault="00A55927" w:rsidP="00EA5BBF">
            <w:pPr>
              <w:numPr>
                <w:ilvl w:val="0"/>
                <w:numId w:val="7"/>
              </w:numPr>
              <w:rPr>
                <w:rFonts w:asciiTheme="minorHAnsi" w:hAnsiTheme="minorHAnsi"/>
                <w:bCs/>
                <w:sz w:val="20"/>
                <w:szCs w:val="20"/>
              </w:rPr>
            </w:pPr>
            <w:r>
              <w:rPr>
                <w:rFonts w:asciiTheme="minorHAnsi" w:hAnsiTheme="minorHAnsi"/>
                <w:bCs/>
                <w:sz w:val="20"/>
                <w:szCs w:val="20"/>
              </w:rPr>
              <w:t>Milestone agreements for graduate student advising</w:t>
            </w:r>
            <w:r w:rsidR="00F2712E">
              <w:rPr>
                <w:rFonts w:asciiTheme="minorHAnsi" w:hAnsiTheme="minorHAnsi"/>
                <w:bCs/>
                <w:sz w:val="20"/>
                <w:szCs w:val="20"/>
              </w:rPr>
              <w:t>. UT System requirement for PhD and optional for masters. Dr. Idell emailed deans to remind them of PhD requirement and the need to have an audit trail of compliance.</w:t>
            </w:r>
          </w:p>
          <w:p w14:paraId="17615CD6" w14:textId="481D2638" w:rsidR="00FC12E8" w:rsidRPr="002C5528" w:rsidRDefault="00F2712E" w:rsidP="002C5528">
            <w:pPr>
              <w:numPr>
                <w:ilvl w:val="0"/>
                <w:numId w:val="7"/>
              </w:numPr>
              <w:rPr>
                <w:rFonts w:asciiTheme="minorHAnsi" w:hAnsiTheme="minorHAnsi"/>
                <w:bCs/>
                <w:sz w:val="20"/>
                <w:szCs w:val="20"/>
              </w:rPr>
            </w:pPr>
            <w:r>
              <w:rPr>
                <w:rFonts w:asciiTheme="minorHAnsi" w:hAnsiTheme="minorHAnsi"/>
                <w:bCs/>
                <w:sz w:val="20"/>
                <w:szCs w:val="20"/>
              </w:rPr>
              <w:t>Registrar Probation/suspension forms. To be updated to remove old office address (336) and change Dean of Graduate Studies to Dean of Graduate School.</w:t>
            </w:r>
            <w:bookmarkEnd w:id="1"/>
          </w:p>
        </w:tc>
        <w:tc>
          <w:tcPr>
            <w:tcW w:w="1080" w:type="dxa"/>
          </w:tcPr>
          <w:p w14:paraId="0D334C58" w14:textId="4C67A552" w:rsidR="00587C98" w:rsidRPr="000722A6" w:rsidRDefault="00587C98" w:rsidP="000722A6">
            <w:pPr>
              <w:ind w:left="360"/>
              <w:rPr>
                <w:rFonts w:asciiTheme="minorHAnsi" w:hAnsiTheme="minorHAnsi"/>
                <w:sz w:val="20"/>
                <w:szCs w:val="20"/>
              </w:rPr>
            </w:pPr>
          </w:p>
        </w:tc>
      </w:tr>
      <w:bookmarkEnd w:id="0"/>
      <w:tr w:rsidR="00C304F3" w:rsidRPr="008E0DF2" w14:paraId="3A90420E" w14:textId="77777777" w:rsidTr="00A65489">
        <w:tc>
          <w:tcPr>
            <w:tcW w:w="233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442E1D5A" w14:textId="77777777" w:rsidR="00C304F3" w:rsidRDefault="00AF219E" w:rsidP="00AF219E">
            <w:pPr>
              <w:tabs>
                <w:tab w:val="left" w:pos="252"/>
              </w:tabs>
              <w:ind w:left="252"/>
              <w:rPr>
                <w:rFonts w:asciiTheme="minorHAnsi" w:hAnsiTheme="minorHAnsi"/>
                <w:sz w:val="20"/>
                <w:szCs w:val="20"/>
              </w:rPr>
            </w:pPr>
            <w:r>
              <w:rPr>
                <w:rFonts w:asciiTheme="minorHAnsi" w:hAnsiTheme="minorHAnsi"/>
                <w:sz w:val="20"/>
                <w:szCs w:val="20"/>
              </w:rPr>
              <w:t>Announcements</w:t>
            </w:r>
          </w:p>
          <w:p w14:paraId="073C8C38" w14:textId="77777777" w:rsidR="00AF219E" w:rsidRDefault="00AF219E" w:rsidP="00AF219E">
            <w:pPr>
              <w:pStyle w:val="ListParagraph"/>
              <w:numPr>
                <w:ilvl w:val="0"/>
                <w:numId w:val="31"/>
              </w:numPr>
              <w:tabs>
                <w:tab w:val="left" w:pos="252"/>
              </w:tabs>
              <w:rPr>
                <w:rFonts w:asciiTheme="minorHAnsi" w:hAnsiTheme="minorHAnsi"/>
                <w:sz w:val="20"/>
                <w:szCs w:val="20"/>
              </w:rPr>
            </w:pPr>
            <w:r>
              <w:rPr>
                <w:rFonts w:asciiTheme="minorHAnsi" w:hAnsiTheme="minorHAnsi"/>
                <w:sz w:val="20"/>
                <w:szCs w:val="20"/>
              </w:rPr>
              <w:t>Planning for SACSCOC visit on April 12-14 – Please keep schedules clear on these dates</w:t>
            </w:r>
          </w:p>
          <w:p w14:paraId="71B25B18" w14:textId="7D3A6A2B" w:rsidR="002C5528" w:rsidRPr="00AF219E" w:rsidRDefault="002C5528" w:rsidP="00AF219E">
            <w:pPr>
              <w:pStyle w:val="ListParagraph"/>
              <w:numPr>
                <w:ilvl w:val="0"/>
                <w:numId w:val="31"/>
              </w:numPr>
              <w:tabs>
                <w:tab w:val="left" w:pos="252"/>
              </w:tabs>
              <w:rPr>
                <w:rFonts w:asciiTheme="minorHAnsi" w:hAnsiTheme="minorHAnsi"/>
                <w:sz w:val="20"/>
                <w:szCs w:val="20"/>
              </w:rPr>
            </w:pPr>
            <w:r>
              <w:rPr>
                <w:rFonts w:asciiTheme="minorHAnsi" w:hAnsiTheme="minorHAnsi"/>
                <w:sz w:val="20"/>
                <w:szCs w:val="20"/>
              </w:rPr>
              <w:t>Planning for CGS external review (tentatively) scheduled in September 2021</w:t>
            </w:r>
          </w:p>
        </w:tc>
        <w:tc>
          <w:tcPr>
            <w:tcW w:w="1080" w:type="dxa"/>
          </w:tcPr>
          <w:p w14:paraId="625D90FE" w14:textId="6B7AEFD9" w:rsidR="009566FE" w:rsidRPr="00D31248" w:rsidRDefault="009566FE" w:rsidP="00D31248">
            <w:pPr>
              <w:pStyle w:val="ListParagraph"/>
              <w:ind w:left="612"/>
              <w:rPr>
                <w:rFonts w:asciiTheme="minorHAnsi" w:hAnsiTheme="minorHAnsi"/>
                <w:sz w:val="20"/>
                <w:szCs w:val="20"/>
              </w:rPr>
            </w:pPr>
          </w:p>
        </w:tc>
      </w:tr>
      <w:tr w:rsidR="00C304F3" w:rsidRPr="008E0DF2" w14:paraId="402E987D" w14:textId="77777777" w:rsidTr="00A65489">
        <w:trPr>
          <w:trHeight w:val="380"/>
        </w:trPr>
        <w:tc>
          <w:tcPr>
            <w:tcW w:w="233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61C46F0D" w14:textId="77777777" w:rsidR="00C304F3" w:rsidRPr="008E0DF2" w:rsidRDefault="00C304F3" w:rsidP="00EA5BBF">
            <w:pPr>
              <w:pStyle w:val="ListParagraph"/>
              <w:numPr>
                <w:ilvl w:val="0"/>
                <w:numId w:val="5"/>
              </w:numPr>
              <w:tabs>
                <w:tab w:val="left" w:pos="252"/>
              </w:tabs>
              <w:rPr>
                <w:rFonts w:asciiTheme="minorHAnsi" w:hAnsiTheme="minorHAnsi"/>
                <w:sz w:val="20"/>
                <w:szCs w:val="20"/>
              </w:rPr>
            </w:pPr>
          </w:p>
        </w:tc>
        <w:tc>
          <w:tcPr>
            <w:tcW w:w="1080" w:type="dxa"/>
          </w:tcPr>
          <w:p w14:paraId="47E53BA9" w14:textId="3AC44127" w:rsidR="00C304F3" w:rsidRPr="008E0DF2" w:rsidRDefault="00C304F3" w:rsidP="00091A2B">
            <w:pPr>
              <w:rPr>
                <w:rFonts w:asciiTheme="minorHAnsi" w:hAnsiTheme="minorHAnsi"/>
                <w:sz w:val="20"/>
                <w:szCs w:val="20"/>
              </w:rPr>
            </w:pPr>
          </w:p>
        </w:tc>
      </w:tr>
    </w:tbl>
    <w:p w14:paraId="5677C2B2" w14:textId="77777777" w:rsidR="002F1520" w:rsidRDefault="002F1520"/>
    <w:p w14:paraId="62CF2477" w14:textId="77777777" w:rsidR="002F1520" w:rsidRDefault="002F1520">
      <w:r>
        <w:br w:type="page"/>
      </w:r>
    </w:p>
    <w:p w14:paraId="65F54055" w14:textId="4B7501B4" w:rsidR="002F1520" w:rsidRDefault="002F1520">
      <w:r>
        <w:lastRenderedPageBreak/>
        <w:t>To: Graduate Council</w:t>
      </w:r>
    </w:p>
    <w:p w14:paraId="0CB1FB96" w14:textId="77777777" w:rsidR="002F1520" w:rsidRDefault="002F1520"/>
    <w:p w14:paraId="230D62E4" w14:textId="77777777" w:rsidR="002F1520" w:rsidRDefault="002F1520">
      <w:r>
        <w:t>From:   GC Curriculum Subcommittee</w:t>
      </w:r>
    </w:p>
    <w:p w14:paraId="53977D8C" w14:textId="77777777" w:rsidR="002F1520" w:rsidRDefault="002F1520"/>
    <w:p w14:paraId="75B850F4" w14:textId="77777777" w:rsidR="002F1520" w:rsidRDefault="002F1520">
      <w:r>
        <w:t>Re: April consideration</w:t>
      </w:r>
    </w:p>
    <w:p w14:paraId="3B068C77" w14:textId="77777777" w:rsidR="002F1520" w:rsidRDefault="002F1520"/>
    <w:p w14:paraId="05477365" w14:textId="77777777" w:rsidR="002F1520" w:rsidRDefault="002F1520"/>
    <w:p w14:paraId="2122AC15"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New Course – Soules College of Business</w:t>
      </w:r>
    </w:p>
    <w:p w14:paraId="4A30528F"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p>
    <w:p w14:paraId="3ADC02E1"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MARK 5340 Data-driven Marketing Insights     is being recommended by the Subcommittee for GC  consideration.   </w:t>
      </w:r>
    </w:p>
    <w:p w14:paraId="25673DCB"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p>
    <w:p w14:paraId="04BA563D"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Description:</w:t>
      </w:r>
    </w:p>
    <w:p w14:paraId="7B8B0C31"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new age of marketing requires an understanding of data as marketing decisions are made based on data analysis. The goal of this course is to provide students the knowledge and skills needed to make intelligent use of marketing data to make strategic marketing decisions such as consumer value, sales analytics, marketing mix, STP (segmentation, targeting, and positioning) strategy, and digital marketing analytics. The course employs a combination of lectures, articles, and “hands-on” exercises. By the end of the course, you will be able to make data-driven marketing decisions.</w:t>
      </w:r>
    </w:p>
    <w:p w14:paraId="205FB02F"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p>
    <w:p w14:paraId="11F6C2A2"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This is an elective course in the MBA program and cannot be repeated in the student's program.  The submission meets criteria for consideration.  </w:t>
      </w:r>
    </w:p>
    <w:p w14:paraId="4295863C" w14:textId="03A1F613" w:rsidR="002F1520" w:rsidRDefault="002F1520">
      <w:r>
        <w:br w:type="page"/>
      </w:r>
    </w:p>
    <w:p w14:paraId="29393C05" w14:textId="77777777" w:rsidR="002F1520" w:rsidRDefault="002F1520" w:rsidP="000C71F0">
      <w:pPr>
        <w:jc w:val="both"/>
        <w:rPr>
          <w:rFonts w:ascii="Arial" w:hAnsi="Arial" w:cs="Arial"/>
          <w:b/>
        </w:rPr>
      </w:pPr>
    </w:p>
    <w:p w14:paraId="5C84CBE7" w14:textId="26D735D7" w:rsidR="002F1520" w:rsidRPr="005E6D88" w:rsidRDefault="002F1520" w:rsidP="000C71F0">
      <w:pPr>
        <w:jc w:val="both"/>
        <w:rPr>
          <w:rFonts w:ascii="Arial" w:hAnsi="Arial" w:cs="Arial"/>
        </w:rPr>
      </w:pPr>
      <w:r w:rsidRPr="002F1520">
        <w:rPr>
          <w:rFonts w:ascii="Arial" w:hAnsi="Arial" w:cs="Arial"/>
          <w:b/>
        </w:rPr>
        <w:t>Mission</w:t>
      </w:r>
      <w:r w:rsidRPr="002F1520">
        <w:rPr>
          <w:rFonts w:ascii="Arial" w:hAnsi="Arial" w:cs="Arial"/>
          <w:bCs/>
        </w:rPr>
        <w:t xml:space="preserve">:  </w:t>
      </w:r>
      <w:r w:rsidRPr="002F1520">
        <w:rPr>
          <w:rFonts w:ascii="Arial" w:hAnsi="Arial" w:cs="Arial"/>
          <w:bCs/>
          <w:color w:val="3F505A"/>
          <w:shd w:val="clear" w:color="auto" w:fill="FFFFFF"/>
        </w:rPr>
        <w:t>To serve Northeast Texas and beyond by providing excellence in graduate education that fosters creative, impactful research, high quality scholastic achievement and professional development</w:t>
      </w:r>
      <w:r w:rsidRPr="005E6D88">
        <w:rPr>
          <w:rFonts w:ascii="Arial" w:hAnsi="Arial" w:cs="Arial"/>
          <w:color w:val="3F505A"/>
          <w:shd w:val="clear" w:color="auto" w:fill="FFFFFF"/>
        </w:rPr>
        <w:t xml:space="preserve">. </w:t>
      </w:r>
    </w:p>
    <w:p w14:paraId="6D8F4763" w14:textId="77777777" w:rsidR="002F1520" w:rsidRPr="005E6D88" w:rsidRDefault="002F1520" w:rsidP="000C71F0">
      <w:pPr>
        <w:jc w:val="both"/>
        <w:rPr>
          <w:rFonts w:ascii="Arial" w:hAnsi="Arial" w:cs="Arial"/>
        </w:rPr>
      </w:pPr>
    </w:p>
    <w:p w14:paraId="5276C457" w14:textId="77777777" w:rsidR="002F1520" w:rsidRDefault="002F1520" w:rsidP="000C71F0">
      <w:pPr>
        <w:jc w:val="both"/>
        <w:rPr>
          <w:rFonts w:ascii="Arial" w:hAnsi="Arial" w:cs="Arial"/>
          <w:b/>
        </w:rPr>
      </w:pPr>
    </w:p>
    <w:p w14:paraId="2CB2A571" w14:textId="13C0472A" w:rsidR="002F1520" w:rsidRPr="005E6D88" w:rsidRDefault="002F1520" w:rsidP="000C71F0">
      <w:pPr>
        <w:jc w:val="both"/>
        <w:rPr>
          <w:rFonts w:ascii="Arial" w:hAnsi="Arial" w:cs="Arial"/>
        </w:rPr>
      </w:pPr>
      <w:r w:rsidRPr="000C71F0">
        <w:rPr>
          <w:rFonts w:ascii="Arial" w:hAnsi="Arial" w:cs="Arial"/>
          <w:b/>
        </w:rPr>
        <w:t>Vision</w:t>
      </w:r>
      <w:r w:rsidRPr="005E6D88">
        <w:rPr>
          <w:rFonts w:ascii="Arial" w:hAnsi="Arial" w:cs="Arial"/>
        </w:rPr>
        <w:t xml:space="preserve">:  The Graduate School at the University of Texas at Tyler aspires to be a leader in graduate education.  </w:t>
      </w:r>
    </w:p>
    <w:p w14:paraId="5C8198EC" w14:textId="77777777" w:rsidR="002F1520" w:rsidRPr="005E6D88" w:rsidRDefault="002F1520" w:rsidP="000C71F0">
      <w:pPr>
        <w:jc w:val="both"/>
        <w:rPr>
          <w:rFonts w:ascii="Arial" w:hAnsi="Arial" w:cs="Arial"/>
          <w:b/>
          <w:bCs/>
        </w:rPr>
      </w:pPr>
    </w:p>
    <w:p w14:paraId="737EF55A" w14:textId="77777777" w:rsidR="002F1520" w:rsidRDefault="002F1520" w:rsidP="000C71F0">
      <w:pPr>
        <w:jc w:val="both"/>
        <w:rPr>
          <w:rFonts w:ascii="Arial" w:hAnsi="Arial" w:cs="Arial"/>
          <w:b/>
        </w:rPr>
      </w:pPr>
    </w:p>
    <w:p w14:paraId="72D46A67" w14:textId="31570C48" w:rsidR="002F1520" w:rsidRPr="005E6D88" w:rsidRDefault="002F1520" w:rsidP="000C71F0">
      <w:pPr>
        <w:jc w:val="both"/>
        <w:rPr>
          <w:rFonts w:ascii="Arial" w:hAnsi="Arial" w:cs="Arial"/>
        </w:rPr>
      </w:pPr>
      <w:r w:rsidRPr="000C71F0">
        <w:rPr>
          <w:rFonts w:ascii="Arial" w:hAnsi="Arial" w:cs="Arial"/>
          <w:b/>
        </w:rPr>
        <w:t>Values</w:t>
      </w:r>
      <w:r w:rsidRPr="005E6D88">
        <w:rPr>
          <w:rFonts w:ascii="Arial" w:hAnsi="Arial" w:cs="Arial"/>
        </w:rPr>
        <w:t xml:space="preserve">: </w:t>
      </w:r>
    </w:p>
    <w:p w14:paraId="5A02D4FF" w14:textId="77777777" w:rsidR="002F1520" w:rsidRPr="005E6D88" w:rsidRDefault="002F1520" w:rsidP="000C71F0">
      <w:pPr>
        <w:jc w:val="both"/>
        <w:rPr>
          <w:rFonts w:ascii="Arial" w:hAnsi="Arial" w:cs="Arial"/>
        </w:rPr>
      </w:pPr>
    </w:p>
    <w:p w14:paraId="39B223E9" w14:textId="77777777" w:rsidR="002F1520" w:rsidRPr="005E6D88" w:rsidRDefault="002F1520" w:rsidP="002F1520">
      <w:pPr>
        <w:pStyle w:val="ListParagraph"/>
        <w:numPr>
          <w:ilvl w:val="0"/>
          <w:numId w:val="32"/>
        </w:numPr>
        <w:jc w:val="both"/>
        <w:rPr>
          <w:rFonts w:ascii="Arial" w:hAnsi="Arial" w:cs="Arial"/>
        </w:rPr>
      </w:pPr>
      <w:r w:rsidRPr="005E6D88">
        <w:rPr>
          <w:rFonts w:ascii="Arial" w:hAnsi="Arial" w:cs="Arial"/>
        </w:rPr>
        <w:t xml:space="preserve">To encourage diversity to enhance inclusivity within the university. </w:t>
      </w:r>
    </w:p>
    <w:p w14:paraId="0218835B" w14:textId="77777777" w:rsidR="002F1520" w:rsidRPr="005E6D88" w:rsidRDefault="002F1520" w:rsidP="002F1520">
      <w:pPr>
        <w:pStyle w:val="ListParagraph"/>
        <w:numPr>
          <w:ilvl w:val="0"/>
          <w:numId w:val="32"/>
        </w:numPr>
        <w:jc w:val="both"/>
        <w:rPr>
          <w:rFonts w:ascii="Arial" w:hAnsi="Arial" w:cs="Arial"/>
        </w:rPr>
      </w:pPr>
      <w:r w:rsidRPr="005E6D88">
        <w:rPr>
          <w:rFonts w:ascii="Arial" w:hAnsi="Arial" w:cs="Arial"/>
        </w:rPr>
        <w:t xml:space="preserve">To be accountable for the appropriate use of university resources to support graduate students, initiatives and programs. </w:t>
      </w:r>
    </w:p>
    <w:p w14:paraId="0173E825" w14:textId="77777777" w:rsidR="002F1520" w:rsidRPr="005E6D88" w:rsidRDefault="002F1520" w:rsidP="002F1520">
      <w:pPr>
        <w:pStyle w:val="ListParagraph"/>
        <w:numPr>
          <w:ilvl w:val="0"/>
          <w:numId w:val="32"/>
        </w:numPr>
        <w:jc w:val="both"/>
        <w:rPr>
          <w:rFonts w:ascii="Arial" w:hAnsi="Arial" w:cs="Arial"/>
        </w:rPr>
      </w:pPr>
      <w:r w:rsidRPr="005E6D88">
        <w:rPr>
          <w:rFonts w:ascii="Arial" w:hAnsi="Arial" w:cs="Arial"/>
        </w:rPr>
        <w:t>The Graduate School will partner with Graduate Council to establish university graduate policies, standards and procedures that define best practices for graduate programs.</w:t>
      </w:r>
    </w:p>
    <w:p w14:paraId="569D7BC1" w14:textId="77777777" w:rsidR="002F1520" w:rsidRPr="005E6D88" w:rsidRDefault="002F1520" w:rsidP="002F1520">
      <w:pPr>
        <w:pStyle w:val="ListParagraph"/>
        <w:numPr>
          <w:ilvl w:val="0"/>
          <w:numId w:val="32"/>
        </w:numPr>
        <w:jc w:val="both"/>
        <w:rPr>
          <w:rFonts w:ascii="Arial" w:hAnsi="Arial" w:cs="Arial"/>
        </w:rPr>
      </w:pPr>
      <w:r w:rsidRPr="005E6D88">
        <w:rPr>
          <w:rFonts w:ascii="Arial" w:hAnsi="Arial" w:cs="Arial"/>
        </w:rPr>
        <w:t>To pursue excellence through creativity, innovation and diligence.</w:t>
      </w:r>
    </w:p>
    <w:p w14:paraId="72A1814F" w14:textId="77777777" w:rsidR="002F1520" w:rsidRDefault="002F1520" w:rsidP="00334B2E">
      <w:pPr>
        <w:pStyle w:val="ListParagraph"/>
      </w:pPr>
      <w:r>
        <w:t xml:space="preserve"> </w:t>
      </w:r>
    </w:p>
    <w:p w14:paraId="38EA9781" w14:textId="77777777" w:rsidR="002F1520" w:rsidRDefault="002F1520" w:rsidP="00E26061"/>
    <w:p w14:paraId="1AC3079B" w14:textId="77777777" w:rsidR="002F1520" w:rsidRDefault="002F1520" w:rsidP="00E26061"/>
    <w:p w14:paraId="470793AF" w14:textId="77777777" w:rsidR="002F1520" w:rsidRDefault="002F1520" w:rsidP="00E26061"/>
    <w:p w14:paraId="7769D732" w14:textId="77777777" w:rsidR="002F1520" w:rsidRDefault="002F1520"/>
    <w:p w14:paraId="584FDAB9" w14:textId="68977DAC" w:rsidR="002F1520" w:rsidRDefault="002F1520">
      <w:pPr>
        <w:rPr>
          <w:rFonts w:asciiTheme="minorHAnsi" w:hAnsiTheme="minorHAnsi"/>
          <w:bCs/>
          <w:sz w:val="20"/>
          <w:szCs w:val="20"/>
        </w:rPr>
      </w:pPr>
      <w:r>
        <w:rPr>
          <w:rFonts w:asciiTheme="minorHAnsi" w:hAnsiTheme="minorHAnsi"/>
          <w:bCs/>
          <w:sz w:val="20"/>
          <w:szCs w:val="20"/>
        </w:rPr>
        <w:br w:type="page"/>
      </w:r>
    </w:p>
    <w:p w14:paraId="283B5085" w14:textId="77777777" w:rsidR="002F1520" w:rsidRDefault="002F1520" w:rsidP="00CC70C7">
      <w:pPr>
        <w:spacing w:line="259" w:lineRule="auto"/>
        <w:ind w:right="4744"/>
        <w:jc w:val="both"/>
        <w:rPr>
          <w:noProof/>
        </w:rPr>
        <w:sectPr w:rsidR="002F1520" w:rsidSect="009D53DB">
          <w:headerReference w:type="even" r:id="rId11"/>
          <w:headerReference w:type="default" r:id="rId12"/>
          <w:footerReference w:type="even" r:id="rId13"/>
          <w:footerReference w:type="default" r:id="rId14"/>
          <w:headerReference w:type="first" r:id="rId15"/>
          <w:footerReference w:type="first" r:id="rId16"/>
          <w:pgSz w:w="12240" w:h="15840"/>
          <w:pgMar w:top="432" w:right="1152" w:bottom="432" w:left="1152" w:header="720" w:footer="677" w:gutter="0"/>
          <w:cols w:space="720"/>
          <w:docGrid w:linePitch="326"/>
        </w:sectPr>
      </w:pPr>
    </w:p>
    <w:p w14:paraId="6BAE99D4" w14:textId="77777777" w:rsidR="002F1520" w:rsidRDefault="002F1520" w:rsidP="000F5D98">
      <w:pPr>
        <w:spacing w:line="259" w:lineRule="auto"/>
        <w:ind w:left="-5"/>
        <w:jc w:val="both"/>
      </w:pPr>
      <w:r>
        <w:rPr>
          <w:b/>
        </w:rPr>
        <w:lastRenderedPageBreak/>
        <w:t xml:space="preserve">POLICY &amp; PROCEDURE DOCUMENT </w:t>
      </w:r>
    </w:p>
    <w:p w14:paraId="245056EC" w14:textId="77777777" w:rsidR="002F1520" w:rsidRDefault="002F1520" w:rsidP="000F5D98">
      <w:pPr>
        <w:spacing w:line="259" w:lineRule="auto"/>
        <w:jc w:val="both"/>
      </w:pPr>
      <w:r>
        <w:t xml:space="preserve"> </w:t>
      </w:r>
    </w:p>
    <w:p w14:paraId="39236DC8" w14:textId="77777777" w:rsidR="002F1520" w:rsidRDefault="002F1520" w:rsidP="000F5D98">
      <w:pPr>
        <w:spacing w:line="259" w:lineRule="auto"/>
        <w:jc w:val="both"/>
      </w:pPr>
      <w:r>
        <w:t xml:space="preserve"> </w:t>
      </w:r>
    </w:p>
    <w:tbl>
      <w:tblPr>
        <w:tblStyle w:val="TableGrid0"/>
        <w:tblW w:w="6390" w:type="dxa"/>
        <w:tblInd w:w="0" w:type="dxa"/>
        <w:tblLook w:val="04A0" w:firstRow="1" w:lastRow="0" w:firstColumn="1" w:lastColumn="0" w:noHBand="0" w:noVBand="1"/>
      </w:tblPr>
      <w:tblGrid>
        <w:gridCol w:w="1440"/>
        <w:gridCol w:w="720"/>
        <w:gridCol w:w="4230"/>
      </w:tblGrid>
      <w:tr w:rsidR="002F1520" w14:paraId="20E693D4" w14:textId="77777777" w:rsidTr="002521F7">
        <w:trPr>
          <w:trHeight w:val="503"/>
        </w:trPr>
        <w:tc>
          <w:tcPr>
            <w:tcW w:w="1440" w:type="dxa"/>
            <w:tcBorders>
              <w:top w:val="nil"/>
              <w:left w:val="nil"/>
              <w:bottom w:val="nil"/>
              <w:right w:val="nil"/>
            </w:tcBorders>
          </w:tcPr>
          <w:p w14:paraId="1F376787" w14:textId="77777777" w:rsidR="002F1520" w:rsidRDefault="002F1520" w:rsidP="000F5D98">
            <w:pPr>
              <w:spacing w:line="259" w:lineRule="auto"/>
              <w:jc w:val="both"/>
            </w:pPr>
            <w:r>
              <w:t xml:space="preserve">NUMBER:  </w:t>
            </w:r>
          </w:p>
          <w:p w14:paraId="2B8B5FAA"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1CE1CA63" w14:textId="77777777" w:rsidR="002F1520" w:rsidRPr="002521F7" w:rsidRDefault="002F1520" w:rsidP="000F5D98">
            <w:pPr>
              <w:spacing w:line="259" w:lineRule="auto"/>
              <w:jc w:val="both"/>
              <w:rPr>
                <w:highlight w:val="yellow"/>
              </w:rPr>
            </w:pPr>
            <w:r w:rsidRPr="002521F7">
              <w:rPr>
                <w:highlight w:val="yellow"/>
              </w:rPr>
              <w:t xml:space="preserve"> </w:t>
            </w:r>
          </w:p>
        </w:tc>
        <w:tc>
          <w:tcPr>
            <w:tcW w:w="4230" w:type="dxa"/>
            <w:tcBorders>
              <w:top w:val="nil"/>
              <w:left w:val="nil"/>
              <w:bottom w:val="nil"/>
              <w:right w:val="nil"/>
            </w:tcBorders>
          </w:tcPr>
          <w:p w14:paraId="1D1DF256" w14:textId="77777777" w:rsidR="002F1520" w:rsidRPr="002521F7" w:rsidRDefault="002F1520" w:rsidP="000F5D98">
            <w:pPr>
              <w:spacing w:line="259" w:lineRule="auto"/>
              <w:jc w:val="both"/>
              <w:rPr>
                <w:highlight w:val="yellow"/>
              </w:rPr>
            </w:pPr>
          </w:p>
        </w:tc>
      </w:tr>
      <w:tr w:rsidR="002F1520" w14:paraId="6C34E47D" w14:textId="77777777" w:rsidTr="002521F7">
        <w:trPr>
          <w:trHeight w:val="507"/>
        </w:trPr>
        <w:tc>
          <w:tcPr>
            <w:tcW w:w="1440" w:type="dxa"/>
            <w:tcBorders>
              <w:top w:val="nil"/>
              <w:left w:val="nil"/>
              <w:bottom w:val="nil"/>
              <w:right w:val="nil"/>
            </w:tcBorders>
          </w:tcPr>
          <w:p w14:paraId="48C1E38A" w14:textId="77777777" w:rsidR="002F1520" w:rsidRDefault="002F1520" w:rsidP="000F5D98">
            <w:pPr>
              <w:spacing w:line="259" w:lineRule="auto"/>
              <w:jc w:val="both"/>
            </w:pPr>
            <w:r>
              <w:t xml:space="preserve">DIVISION:   </w:t>
            </w:r>
          </w:p>
          <w:p w14:paraId="5142EF76"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0FE962E7"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0783F404" w14:textId="77777777" w:rsidR="002F1520" w:rsidRDefault="002F1520" w:rsidP="000F5D98">
            <w:pPr>
              <w:spacing w:line="259" w:lineRule="auto"/>
              <w:jc w:val="both"/>
            </w:pPr>
            <w:r>
              <w:t xml:space="preserve">Graduate School </w:t>
            </w:r>
          </w:p>
        </w:tc>
      </w:tr>
      <w:tr w:rsidR="002F1520" w14:paraId="28C266E0" w14:textId="77777777" w:rsidTr="002521F7">
        <w:trPr>
          <w:trHeight w:val="505"/>
        </w:trPr>
        <w:tc>
          <w:tcPr>
            <w:tcW w:w="1440" w:type="dxa"/>
            <w:tcBorders>
              <w:top w:val="nil"/>
              <w:left w:val="nil"/>
              <w:bottom w:val="nil"/>
              <w:right w:val="nil"/>
            </w:tcBorders>
          </w:tcPr>
          <w:p w14:paraId="442E819A" w14:textId="77777777" w:rsidR="002F1520" w:rsidRDefault="002F1520" w:rsidP="000F5D98">
            <w:pPr>
              <w:spacing w:line="259" w:lineRule="auto"/>
              <w:jc w:val="both"/>
            </w:pPr>
            <w:r>
              <w:t xml:space="preserve">TITLE:   </w:t>
            </w:r>
          </w:p>
          <w:p w14:paraId="472EC3E4"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681DDE96"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5CF11BBF" w14:textId="77777777" w:rsidR="002F1520" w:rsidRDefault="002F1520" w:rsidP="000F5D98">
            <w:pPr>
              <w:spacing w:line="259" w:lineRule="auto"/>
              <w:jc w:val="both"/>
            </w:pPr>
            <w:r>
              <w:t xml:space="preserve">Graduate Academic Program Coordinator </w:t>
            </w:r>
          </w:p>
        </w:tc>
      </w:tr>
      <w:tr w:rsidR="002F1520" w14:paraId="43132F61" w14:textId="77777777" w:rsidTr="002521F7">
        <w:trPr>
          <w:trHeight w:val="506"/>
        </w:trPr>
        <w:tc>
          <w:tcPr>
            <w:tcW w:w="1440" w:type="dxa"/>
            <w:tcBorders>
              <w:top w:val="nil"/>
              <w:left w:val="nil"/>
              <w:bottom w:val="nil"/>
              <w:right w:val="nil"/>
            </w:tcBorders>
          </w:tcPr>
          <w:p w14:paraId="44F155D9" w14:textId="77777777" w:rsidR="002F1520" w:rsidRDefault="002F1520" w:rsidP="000F5D98">
            <w:pPr>
              <w:spacing w:line="259" w:lineRule="auto"/>
              <w:jc w:val="both"/>
            </w:pPr>
            <w:r>
              <w:t xml:space="preserve">DATE:   </w:t>
            </w:r>
          </w:p>
          <w:p w14:paraId="797741B1"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6F2017A9"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3D38B20B" w14:textId="77777777" w:rsidR="002F1520" w:rsidRDefault="002F1520" w:rsidP="000F5D98">
            <w:pPr>
              <w:spacing w:line="259" w:lineRule="auto"/>
              <w:jc w:val="both"/>
            </w:pPr>
            <w:r>
              <w:t>April 1, 2021</w:t>
            </w:r>
          </w:p>
        </w:tc>
      </w:tr>
      <w:tr w:rsidR="002F1520" w14:paraId="390CD1DD" w14:textId="77777777" w:rsidTr="002521F7">
        <w:trPr>
          <w:trHeight w:val="250"/>
        </w:trPr>
        <w:tc>
          <w:tcPr>
            <w:tcW w:w="1440" w:type="dxa"/>
            <w:tcBorders>
              <w:top w:val="nil"/>
              <w:left w:val="nil"/>
              <w:bottom w:val="nil"/>
              <w:right w:val="nil"/>
            </w:tcBorders>
          </w:tcPr>
          <w:p w14:paraId="520D7ED8" w14:textId="77777777" w:rsidR="002F1520" w:rsidRDefault="002F1520" w:rsidP="000F5D98">
            <w:pPr>
              <w:spacing w:line="259" w:lineRule="auto"/>
              <w:jc w:val="both"/>
            </w:pPr>
            <w:r>
              <w:t xml:space="preserve">REVISED:  </w:t>
            </w:r>
          </w:p>
        </w:tc>
        <w:tc>
          <w:tcPr>
            <w:tcW w:w="720" w:type="dxa"/>
            <w:tcBorders>
              <w:top w:val="nil"/>
              <w:left w:val="nil"/>
              <w:bottom w:val="nil"/>
              <w:right w:val="nil"/>
            </w:tcBorders>
          </w:tcPr>
          <w:p w14:paraId="6AC7FFCE"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15AD6BCA" w14:textId="77777777" w:rsidR="002F1520" w:rsidRDefault="002F1520">
            <w:pPr>
              <w:spacing w:line="259" w:lineRule="auto"/>
              <w:jc w:val="both"/>
            </w:pPr>
            <w:r>
              <w:t xml:space="preserve">April 1, 2021 </w:t>
            </w:r>
          </w:p>
        </w:tc>
      </w:tr>
    </w:tbl>
    <w:p w14:paraId="3BDBEEF1" w14:textId="77777777" w:rsidR="002F1520" w:rsidRDefault="002F1520" w:rsidP="000F5D98">
      <w:pPr>
        <w:spacing w:line="259" w:lineRule="auto"/>
        <w:jc w:val="both"/>
      </w:pPr>
      <w:r>
        <w:t xml:space="preserve"> </w:t>
      </w:r>
    </w:p>
    <w:p w14:paraId="7F6A5D5A" w14:textId="77777777" w:rsidR="002F1520" w:rsidRDefault="002F1520" w:rsidP="000F5D98">
      <w:pPr>
        <w:jc w:val="both"/>
      </w:pPr>
      <w:r>
        <w:t>AUTHORIZED BY:   Dr. Steven Idell, Graduate Dean</w:t>
      </w:r>
    </w:p>
    <w:p w14:paraId="2E8C42AD" w14:textId="77777777" w:rsidR="002F1520" w:rsidRDefault="002F1520" w:rsidP="000F5D98">
      <w:pPr>
        <w:spacing w:line="259" w:lineRule="auto"/>
        <w:jc w:val="both"/>
      </w:pPr>
      <w:r>
        <w:t xml:space="preserve">  </w:t>
      </w:r>
    </w:p>
    <w:p w14:paraId="55E6BFC9" w14:textId="77777777" w:rsidR="002F1520" w:rsidRDefault="002F1520" w:rsidP="000F5D98">
      <w:pPr>
        <w:pStyle w:val="Heading1"/>
        <w:ind w:left="-5"/>
        <w:jc w:val="both"/>
      </w:pPr>
      <w:r>
        <w:t xml:space="preserve">I. Purpose and Scope  </w:t>
      </w:r>
    </w:p>
    <w:p w14:paraId="1058732A" w14:textId="77777777" w:rsidR="002F1520" w:rsidRDefault="002F1520" w:rsidP="000F5D98">
      <w:pPr>
        <w:spacing w:line="259" w:lineRule="auto"/>
        <w:jc w:val="both"/>
      </w:pPr>
      <w:r>
        <w:t xml:space="preserve"> </w:t>
      </w:r>
    </w:p>
    <w:p w14:paraId="2C46D060" w14:textId="77777777" w:rsidR="002F1520" w:rsidRDefault="002F1520" w:rsidP="000F5D98">
      <w:pPr>
        <w:jc w:val="both"/>
      </w:pPr>
      <w:r>
        <w:t xml:space="preserve">SACSCOC requires that “for each of its educational programs, the institution assigns appropriate responsibility for program coordination.”  SACSCOC indicates “there is an expectation that persons responsible for overseeing the curricular content aspects of program coordination are qualified in fields appropriate to the curricular content (and degree level) of the program” and that “the faculty has responsibility for directing the learning enterprise, including overseeing and coordinating educational programs to assure that each contains essential curricular components, has appropriate content and pedagogy, and maintains discipline currency.”  </w:t>
      </w:r>
    </w:p>
    <w:p w14:paraId="33B4BC9B" w14:textId="77777777" w:rsidR="002F1520" w:rsidRDefault="002F1520" w:rsidP="000F5D98">
      <w:pPr>
        <w:spacing w:line="259" w:lineRule="auto"/>
        <w:jc w:val="both"/>
      </w:pPr>
      <w:r>
        <w:t xml:space="preserve"> </w:t>
      </w:r>
    </w:p>
    <w:p w14:paraId="37B455F5" w14:textId="77777777" w:rsidR="002F1520" w:rsidRDefault="002F1520" w:rsidP="000F5D98">
      <w:pPr>
        <w:jc w:val="both"/>
      </w:pPr>
      <w:r>
        <w:t xml:space="preserve">This policy establishes the roles and responsibilities of the Academic Program Coordinator and the procedures through which they shall be selected.  It reflects current definitions and practices. </w:t>
      </w:r>
    </w:p>
    <w:p w14:paraId="1C527511" w14:textId="77777777" w:rsidR="002F1520" w:rsidRDefault="002F1520" w:rsidP="000F5D98">
      <w:pPr>
        <w:spacing w:line="259" w:lineRule="auto"/>
        <w:jc w:val="both"/>
      </w:pPr>
      <w:r>
        <w:t xml:space="preserve">   </w:t>
      </w:r>
    </w:p>
    <w:p w14:paraId="2261D795" w14:textId="77777777" w:rsidR="002F1520" w:rsidRDefault="002F1520" w:rsidP="000F5D98">
      <w:pPr>
        <w:spacing w:line="259" w:lineRule="auto"/>
        <w:ind w:left="-5"/>
        <w:jc w:val="both"/>
      </w:pPr>
      <w:r>
        <w:rPr>
          <w:b/>
        </w:rPr>
        <w:t xml:space="preserve">II. Policy </w:t>
      </w:r>
    </w:p>
    <w:p w14:paraId="1E9830C5" w14:textId="77777777" w:rsidR="002F1520" w:rsidRDefault="002F1520" w:rsidP="000F5D98">
      <w:pPr>
        <w:spacing w:line="259" w:lineRule="auto"/>
        <w:jc w:val="both"/>
      </w:pPr>
      <w:r>
        <w:t xml:space="preserve"> </w:t>
      </w:r>
    </w:p>
    <w:p w14:paraId="4F93AD8A" w14:textId="77777777" w:rsidR="002F1520" w:rsidRDefault="002F1520" w:rsidP="000F5D98">
      <w:pPr>
        <w:pStyle w:val="Heading1"/>
        <w:ind w:left="-5"/>
        <w:jc w:val="both"/>
      </w:pPr>
      <w:r>
        <w:t xml:space="preserve">A. Definitions </w:t>
      </w:r>
    </w:p>
    <w:p w14:paraId="6F7554E8" w14:textId="77777777" w:rsidR="002F1520" w:rsidRDefault="002F1520" w:rsidP="000F5D98">
      <w:pPr>
        <w:spacing w:after="14" w:line="259" w:lineRule="auto"/>
        <w:jc w:val="both"/>
      </w:pPr>
      <w:r>
        <w:t xml:space="preserve">  </w:t>
      </w:r>
    </w:p>
    <w:p w14:paraId="034736F4" w14:textId="77777777" w:rsidR="002F1520" w:rsidRDefault="002F1520" w:rsidP="002F1520">
      <w:pPr>
        <w:numPr>
          <w:ilvl w:val="0"/>
          <w:numId w:val="33"/>
        </w:numPr>
        <w:spacing w:after="5" w:line="249" w:lineRule="auto"/>
        <w:ind w:hanging="360"/>
        <w:jc w:val="both"/>
      </w:pPr>
      <w:r>
        <w:t xml:space="preserve">SACSCOC defines an “academic program” as “a credential as defined by the institution.”   A </w:t>
      </w:r>
      <w:r>
        <w:rPr>
          <w:b/>
        </w:rPr>
        <w:t xml:space="preserve">program </w:t>
      </w:r>
      <w:r>
        <w:t xml:space="preserve">is a combination of courses and related activities organized for the attainment of broad education objectives that leads to a credential.  UT Tyler considers undergraduate degrees/majors, graduate degrees, and some certificates as programs because the university awards a credential upon completion.   </w:t>
      </w:r>
    </w:p>
    <w:p w14:paraId="5E13ED0E" w14:textId="77777777" w:rsidR="002F1520" w:rsidRDefault="002F1520" w:rsidP="000F5D98">
      <w:pPr>
        <w:spacing w:line="259" w:lineRule="auto"/>
        <w:ind w:left="360"/>
        <w:jc w:val="both"/>
      </w:pPr>
      <w:r>
        <w:t xml:space="preserve"> </w:t>
      </w:r>
    </w:p>
    <w:p w14:paraId="3D7A17B1" w14:textId="77777777" w:rsidR="002F1520" w:rsidRDefault="002F1520" w:rsidP="002F1520">
      <w:pPr>
        <w:numPr>
          <w:ilvl w:val="0"/>
          <w:numId w:val="33"/>
        </w:numPr>
        <w:spacing w:after="5" w:line="249" w:lineRule="auto"/>
        <w:ind w:hanging="360"/>
        <w:jc w:val="both"/>
      </w:pPr>
      <w:r>
        <w:t xml:space="preserve">An </w:t>
      </w:r>
      <w:r>
        <w:rPr>
          <w:b/>
        </w:rPr>
        <w:t>Academic Program Coordinator</w:t>
      </w:r>
      <w:r>
        <w:t xml:space="preserve"> is a member of the academically-qualified program faculty with primary responsibility for coordinating curriculum oversight, advising, and program review.  Even though coordinators do administrative work, the position is not considered an administrative position (i.e., a department head, director, dean).   </w:t>
      </w:r>
    </w:p>
    <w:p w14:paraId="0FEBB779" w14:textId="77777777" w:rsidR="002F1520" w:rsidRDefault="002F1520" w:rsidP="000F5D98">
      <w:pPr>
        <w:spacing w:line="259" w:lineRule="auto"/>
        <w:ind w:left="360"/>
        <w:jc w:val="both"/>
      </w:pPr>
      <w:r>
        <w:lastRenderedPageBreak/>
        <w:t xml:space="preserve"> </w:t>
      </w:r>
    </w:p>
    <w:p w14:paraId="60EA4C16" w14:textId="77777777" w:rsidR="002F1520" w:rsidRDefault="002F1520" w:rsidP="000F5D98">
      <w:pPr>
        <w:pStyle w:val="Heading1"/>
        <w:ind w:left="-5"/>
        <w:jc w:val="both"/>
      </w:pPr>
      <w:r>
        <w:t xml:space="preserve">B. Qualifications </w:t>
      </w:r>
    </w:p>
    <w:p w14:paraId="1775CB80" w14:textId="77777777" w:rsidR="002F1520" w:rsidRDefault="002F1520" w:rsidP="000F5D98">
      <w:pPr>
        <w:spacing w:line="259" w:lineRule="auto"/>
        <w:ind w:left="360"/>
        <w:jc w:val="both"/>
      </w:pPr>
      <w:r>
        <w:t xml:space="preserve"> </w:t>
      </w:r>
    </w:p>
    <w:p w14:paraId="1D0CA95F" w14:textId="77777777" w:rsidR="002F1520" w:rsidRDefault="002F1520" w:rsidP="002F1520">
      <w:pPr>
        <w:numPr>
          <w:ilvl w:val="0"/>
          <w:numId w:val="34"/>
        </w:numPr>
        <w:spacing w:after="5" w:line="249" w:lineRule="auto"/>
        <w:ind w:hanging="360"/>
        <w:jc w:val="both"/>
      </w:pPr>
      <w:r>
        <w:t xml:space="preserve">All degree programs, certificates, and majors must have a faculty member, preferably tenure-eligible, appointed as the Academic Program Coordinator of that program. For degree programs and certificates that do not identify a major, an Academic Program Coordinator is required for each curricular area or concentration. </w:t>
      </w:r>
    </w:p>
    <w:p w14:paraId="09CA5A03" w14:textId="77777777" w:rsidR="002F1520" w:rsidRDefault="002F1520" w:rsidP="000F5D98">
      <w:pPr>
        <w:spacing w:line="259" w:lineRule="auto"/>
        <w:ind w:left="720"/>
        <w:jc w:val="both"/>
      </w:pPr>
      <w:r>
        <w:t xml:space="preserve"> </w:t>
      </w:r>
    </w:p>
    <w:p w14:paraId="32EBD6EB" w14:textId="77777777" w:rsidR="002F1520" w:rsidRDefault="002F1520" w:rsidP="002F1520">
      <w:pPr>
        <w:numPr>
          <w:ilvl w:val="0"/>
          <w:numId w:val="34"/>
        </w:numPr>
        <w:spacing w:after="5" w:line="249" w:lineRule="auto"/>
        <w:ind w:hanging="360"/>
        <w:jc w:val="both"/>
      </w:pPr>
      <w:r>
        <w:t xml:space="preserve">The Academic Program Coordinator must hold degree credentials or other qualifications appropriate to the degree, program, or concentration offered. </w:t>
      </w:r>
    </w:p>
    <w:p w14:paraId="1CA0C732" w14:textId="77777777" w:rsidR="002F1520" w:rsidRDefault="002F1520" w:rsidP="000F5D98">
      <w:pPr>
        <w:spacing w:line="259" w:lineRule="auto"/>
        <w:ind w:left="720"/>
        <w:jc w:val="both"/>
      </w:pPr>
      <w:r>
        <w:t xml:space="preserve"> </w:t>
      </w:r>
    </w:p>
    <w:p w14:paraId="5F068A20" w14:textId="77777777" w:rsidR="002F1520" w:rsidRDefault="002F1520" w:rsidP="002F1520">
      <w:pPr>
        <w:numPr>
          <w:ilvl w:val="0"/>
          <w:numId w:val="34"/>
        </w:numPr>
        <w:spacing w:after="5" w:line="249" w:lineRule="auto"/>
        <w:ind w:hanging="360"/>
        <w:jc w:val="both"/>
      </w:pPr>
      <w:r>
        <w:t xml:space="preserve">Graduate program coordinators must hold graduate faculty status.   </w:t>
      </w:r>
    </w:p>
    <w:p w14:paraId="18EDD9F9" w14:textId="77777777" w:rsidR="002F1520" w:rsidRDefault="002F1520" w:rsidP="000F5D98">
      <w:pPr>
        <w:spacing w:line="259" w:lineRule="auto"/>
        <w:ind w:left="720"/>
        <w:jc w:val="both"/>
      </w:pPr>
      <w:r>
        <w:t xml:space="preserve"> </w:t>
      </w:r>
    </w:p>
    <w:p w14:paraId="77CFF1F5" w14:textId="77777777" w:rsidR="002F1520" w:rsidRDefault="002F1520" w:rsidP="000F5D98">
      <w:pPr>
        <w:pStyle w:val="Heading2"/>
        <w:ind w:left="-5"/>
        <w:jc w:val="both"/>
      </w:pPr>
      <w:r>
        <w:rPr>
          <w:u w:val="none"/>
        </w:rPr>
        <w:t xml:space="preserve">C. </w:t>
      </w:r>
      <w:r>
        <w:t>Specific Responsibilities</w:t>
      </w:r>
      <w:r>
        <w:rPr>
          <w:u w:val="none"/>
        </w:rPr>
        <w:t xml:space="preserve"> </w:t>
      </w:r>
    </w:p>
    <w:p w14:paraId="7F822F4C" w14:textId="77777777" w:rsidR="002F1520" w:rsidRDefault="002F1520" w:rsidP="000F5D98">
      <w:pPr>
        <w:spacing w:line="259" w:lineRule="auto"/>
        <w:jc w:val="both"/>
      </w:pPr>
      <w:r>
        <w:t xml:space="preserve"> </w:t>
      </w:r>
    </w:p>
    <w:p w14:paraId="405D7B02" w14:textId="77777777" w:rsidR="002F1520" w:rsidRDefault="002F1520" w:rsidP="002F1520">
      <w:pPr>
        <w:numPr>
          <w:ilvl w:val="0"/>
          <w:numId w:val="35"/>
        </w:numPr>
        <w:spacing w:after="5" w:line="249" w:lineRule="auto"/>
        <w:ind w:hanging="360"/>
        <w:jc w:val="both"/>
      </w:pPr>
      <w:r>
        <w:t xml:space="preserve">The Academic Program Coordinator’s responsibilities include, but are not limited to, </w:t>
      </w:r>
    </w:p>
    <w:p w14:paraId="5D44D411" w14:textId="77777777" w:rsidR="002F1520" w:rsidRDefault="002F1520" w:rsidP="000F5D98">
      <w:pPr>
        <w:spacing w:line="259" w:lineRule="auto"/>
        <w:ind w:left="720"/>
        <w:jc w:val="both"/>
      </w:pPr>
      <w:r>
        <w:t xml:space="preserve"> </w:t>
      </w:r>
    </w:p>
    <w:p w14:paraId="34886FEF" w14:textId="77777777" w:rsidR="002F1520" w:rsidRDefault="002F1520" w:rsidP="002F1520">
      <w:pPr>
        <w:numPr>
          <w:ilvl w:val="1"/>
          <w:numId w:val="35"/>
        </w:numPr>
        <w:spacing w:after="5" w:line="249" w:lineRule="auto"/>
        <w:ind w:hanging="360"/>
        <w:jc w:val="both"/>
      </w:pPr>
      <w:r>
        <w:t xml:space="preserve">Providing planning and proactive problem-solving for the benefit of the students and the program; </w:t>
      </w:r>
    </w:p>
    <w:p w14:paraId="713B02E8" w14:textId="77777777" w:rsidR="002F1520" w:rsidRDefault="002F1520" w:rsidP="000F5D98">
      <w:pPr>
        <w:spacing w:line="259" w:lineRule="auto"/>
        <w:ind w:left="1080"/>
        <w:jc w:val="both"/>
      </w:pPr>
      <w:r>
        <w:t xml:space="preserve"> </w:t>
      </w:r>
    </w:p>
    <w:p w14:paraId="7FEB6B60" w14:textId="77777777" w:rsidR="002F1520" w:rsidRDefault="002F1520" w:rsidP="002F1520">
      <w:pPr>
        <w:numPr>
          <w:ilvl w:val="1"/>
          <w:numId w:val="35"/>
        </w:numPr>
        <w:spacing w:after="5" w:line="249" w:lineRule="auto"/>
        <w:ind w:hanging="360"/>
        <w:jc w:val="both"/>
      </w:pPr>
      <w:r>
        <w:t xml:space="preserve">Coordination of curriculum development, revision, and on-going assessment; </w:t>
      </w:r>
    </w:p>
    <w:p w14:paraId="05832DB3" w14:textId="77777777" w:rsidR="002F1520" w:rsidRDefault="002F1520" w:rsidP="000F5D98">
      <w:pPr>
        <w:spacing w:line="259" w:lineRule="auto"/>
        <w:ind w:left="1080"/>
        <w:jc w:val="both"/>
      </w:pPr>
      <w:r>
        <w:t xml:space="preserve"> </w:t>
      </w:r>
    </w:p>
    <w:p w14:paraId="147CEE31" w14:textId="77777777" w:rsidR="002F1520" w:rsidRDefault="002F1520" w:rsidP="002F1520">
      <w:pPr>
        <w:numPr>
          <w:ilvl w:val="1"/>
          <w:numId w:val="35"/>
        </w:numPr>
        <w:spacing w:after="5" w:line="249" w:lineRule="auto"/>
        <w:ind w:hanging="360"/>
        <w:jc w:val="both"/>
      </w:pPr>
      <w:r>
        <w:t xml:space="preserve">Providing leadership for program approval, program review, and accreditation; </w:t>
      </w:r>
    </w:p>
    <w:p w14:paraId="17CA9031" w14:textId="77777777" w:rsidR="002F1520" w:rsidRDefault="002F1520" w:rsidP="000F5D98">
      <w:pPr>
        <w:spacing w:line="259" w:lineRule="auto"/>
        <w:ind w:left="1080"/>
        <w:jc w:val="both"/>
      </w:pPr>
      <w:r>
        <w:t xml:space="preserve"> </w:t>
      </w:r>
    </w:p>
    <w:p w14:paraId="510A58BA" w14:textId="77777777" w:rsidR="002F1520" w:rsidRDefault="002F1520" w:rsidP="002F1520">
      <w:pPr>
        <w:numPr>
          <w:ilvl w:val="1"/>
          <w:numId w:val="35"/>
        </w:numPr>
        <w:spacing w:after="5" w:line="249" w:lineRule="auto"/>
        <w:ind w:hanging="360"/>
        <w:jc w:val="both"/>
      </w:pPr>
      <w:r>
        <w:t xml:space="preserve">Development and initiation of </w:t>
      </w:r>
      <w:r w:rsidRPr="000F5D98">
        <w:t xml:space="preserve">advisory </w:t>
      </w:r>
      <w:r>
        <w:t xml:space="preserve">programs for students in the </w:t>
      </w:r>
      <w:proofErr w:type="gramStart"/>
      <w:r>
        <w:t>program;</w:t>
      </w:r>
      <w:proofErr w:type="gramEnd"/>
      <w:r>
        <w:t xml:space="preserve"> </w:t>
      </w:r>
    </w:p>
    <w:p w14:paraId="14FAC8DD" w14:textId="77777777" w:rsidR="002F1520" w:rsidRDefault="002F1520" w:rsidP="000F5D98">
      <w:pPr>
        <w:spacing w:line="259" w:lineRule="auto"/>
        <w:ind w:left="1080"/>
        <w:jc w:val="both"/>
      </w:pPr>
      <w:r>
        <w:t xml:space="preserve"> </w:t>
      </w:r>
    </w:p>
    <w:p w14:paraId="73F89256" w14:textId="77777777" w:rsidR="002F1520" w:rsidRDefault="002F1520" w:rsidP="002F1520">
      <w:pPr>
        <w:numPr>
          <w:ilvl w:val="1"/>
          <w:numId w:val="35"/>
        </w:numPr>
        <w:spacing w:after="5" w:line="249" w:lineRule="auto"/>
        <w:ind w:hanging="360"/>
        <w:jc w:val="both"/>
      </w:pPr>
      <w:r>
        <w:t xml:space="preserve">Coordination of recruitment efforts with the Department Head/Chair, College, Admissions/Graduate School; </w:t>
      </w:r>
    </w:p>
    <w:p w14:paraId="2212D518" w14:textId="77777777" w:rsidR="002F1520" w:rsidRDefault="002F1520" w:rsidP="000F5D98">
      <w:pPr>
        <w:spacing w:line="259" w:lineRule="auto"/>
        <w:ind w:left="1080"/>
        <w:jc w:val="both"/>
      </w:pPr>
      <w:r>
        <w:t xml:space="preserve"> </w:t>
      </w:r>
    </w:p>
    <w:p w14:paraId="4785CA44" w14:textId="77777777" w:rsidR="002F1520" w:rsidRDefault="002F1520" w:rsidP="002F1520">
      <w:pPr>
        <w:numPr>
          <w:ilvl w:val="1"/>
          <w:numId w:val="35"/>
        </w:numPr>
        <w:spacing w:after="5" w:line="249" w:lineRule="auto"/>
        <w:ind w:hanging="360"/>
        <w:jc w:val="both"/>
      </w:pPr>
      <w:r>
        <w:t xml:space="preserve">Assistance with orientation information sessions; </w:t>
      </w:r>
    </w:p>
    <w:p w14:paraId="72AD76A8" w14:textId="77777777" w:rsidR="002F1520" w:rsidRDefault="002F1520" w:rsidP="000F5D98">
      <w:pPr>
        <w:spacing w:line="259" w:lineRule="auto"/>
        <w:ind w:left="1080"/>
        <w:jc w:val="both"/>
      </w:pPr>
      <w:r>
        <w:t xml:space="preserve"> </w:t>
      </w:r>
    </w:p>
    <w:p w14:paraId="03ADF0B7" w14:textId="77777777" w:rsidR="002F1520" w:rsidRDefault="002F1520" w:rsidP="002F1520">
      <w:pPr>
        <w:numPr>
          <w:ilvl w:val="1"/>
          <w:numId w:val="35"/>
        </w:numPr>
        <w:spacing w:after="5" w:line="249" w:lineRule="auto"/>
        <w:ind w:hanging="360"/>
        <w:jc w:val="both"/>
      </w:pPr>
      <w:r>
        <w:t xml:space="preserve">Assisting the Department Head/Chair with recruitment and support of part-time faculty; and </w:t>
      </w:r>
    </w:p>
    <w:p w14:paraId="42F83C53" w14:textId="77777777" w:rsidR="002F1520" w:rsidRDefault="002F1520" w:rsidP="000F5D98">
      <w:pPr>
        <w:spacing w:line="259" w:lineRule="auto"/>
        <w:ind w:left="1080"/>
        <w:jc w:val="both"/>
      </w:pPr>
      <w:r>
        <w:t xml:space="preserve"> </w:t>
      </w:r>
    </w:p>
    <w:p w14:paraId="482F1D8F" w14:textId="77777777" w:rsidR="002F1520" w:rsidRDefault="002F1520" w:rsidP="002F1520">
      <w:pPr>
        <w:numPr>
          <w:ilvl w:val="1"/>
          <w:numId w:val="35"/>
        </w:numPr>
        <w:spacing w:after="5" w:line="249" w:lineRule="auto"/>
        <w:ind w:hanging="360"/>
        <w:jc w:val="both"/>
      </w:pPr>
      <w:r>
        <w:t xml:space="preserve">Staying abreast of current issues through professional development activities.   </w:t>
      </w:r>
    </w:p>
    <w:p w14:paraId="528DD5E2" w14:textId="77777777" w:rsidR="002F1520" w:rsidRDefault="002F1520" w:rsidP="000F5D98">
      <w:pPr>
        <w:spacing w:line="259" w:lineRule="auto"/>
        <w:ind w:left="720"/>
        <w:jc w:val="both"/>
      </w:pPr>
      <w:r>
        <w:t xml:space="preserve"> </w:t>
      </w:r>
    </w:p>
    <w:p w14:paraId="26531E43" w14:textId="77777777" w:rsidR="002F1520" w:rsidRDefault="002F1520" w:rsidP="002F1520">
      <w:pPr>
        <w:numPr>
          <w:ilvl w:val="0"/>
          <w:numId w:val="35"/>
        </w:numPr>
        <w:spacing w:after="5" w:line="249" w:lineRule="auto"/>
        <w:ind w:hanging="360"/>
        <w:jc w:val="both"/>
      </w:pPr>
      <w:r>
        <w:t xml:space="preserve">Additional responsibilities for graduate programs include, but are not limited to, </w:t>
      </w:r>
    </w:p>
    <w:p w14:paraId="5DBCBE0A" w14:textId="77777777" w:rsidR="002F1520" w:rsidRDefault="002F1520" w:rsidP="000F5D98">
      <w:pPr>
        <w:spacing w:line="259" w:lineRule="auto"/>
        <w:ind w:left="720"/>
        <w:jc w:val="both"/>
      </w:pPr>
      <w:r>
        <w:t xml:space="preserve"> </w:t>
      </w:r>
    </w:p>
    <w:p w14:paraId="2CD36D56" w14:textId="77777777" w:rsidR="002F1520" w:rsidRDefault="002F1520" w:rsidP="002F1520">
      <w:pPr>
        <w:numPr>
          <w:ilvl w:val="1"/>
          <w:numId w:val="35"/>
        </w:numPr>
        <w:spacing w:after="5" w:line="249" w:lineRule="auto"/>
        <w:ind w:hanging="360"/>
        <w:jc w:val="both"/>
      </w:pPr>
      <w:r>
        <w:t xml:space="preserve">Evaluation, with program faculty consultation, of applicants for admission to the program; </w:t>
      </w:r>
    </w:p>
    <w:p w14:paraId="46163EB4" w14:textId="77777777" w:rsidR="002F1520" w:rsidRDefault="002F1520" w:rsidP="000F5D98">
      <w:pPr>
        <w:spacing w:line="259" w:lineRule="auto"/>
        <w:ind w:left="1080"/>
        <w:jc w:val="both"/>
      </w:pPr>
      <w:r>
        <w:t xml:space="preserve"> </w:t>
      </w:r>
    </w:p>
    <w:p w14:paraId="5E705DA6" w14:textId="77777777" w:rsidR="002F1520" w:rsidRDefault="002F1520" w:rsidP="002F1520">
      <w:pPr>
        <w:numPr>
          <w:ilvl w:val="1"/>
          <w:numId w:val="35"/>
        </w:numPr>
        <w:spacing w:after="5" w:line="249" w:lineRule="auto"/>
        <w:ind w:hanging="360"/>
        <w:jc w:val="both"/>
      </w:pPr>
      <w:r>
        <w:t xml:space="preserve">Acting as a liaison to the Graduate School; and </w:t>
      </w:r>
    </w:p>
    <w:p w14:paraId="17C5967A" w14:textId="77777777" w:rsidR="002F1520" w:rsidRDefault="002F1520" w:rsidP="000F5D98">
      <w:pPr>
        <w:spacing w:line="259" w:lineRule="auto"/>
        <w:ind w:left="1080"/>
        <w:jc w:val="both"/>
      </w:pPr>
      <w:r>
        <w:t xml:space="preserve"> </w:t>
      </w:r>
    </w:p>
    <w:p w14:paraId="122A92C0" w14:textId="77777777" w:rsidR="002F1520" w:rsidRDefault="002F1520" w:rsidP="002F1520">
      <w:pPr>
        <w:numPr>
          <w:ilvl w:val="1"/>
          <w:numId w:val="35"/>
        </w:numPr>
        <w:spacing w:after="5" w:line="249" w:lineRule="auto"/>
        <w:ind w:hanging="360"/>
        <w:jc w:val="both"/>
      </w:pPr>
      <w:r>
        <w:t xml:space="preserve">Responding to reporting requirements of the Graduate School. </w:t>
      </w:r>
    </w:p>
    <w:p w14:paraId="064C8DB8" w14:textId="77777777" w:rsidR="002F1520" w:rsidRDefault="002F1520" w:rsidP="000F5D98">
      <w:pPr>
        <w:spacing w:line="259" w:lineRule="auto"/>
        <w:ind w:left="720"/>
        <w:jc w:val="both"/>
      </w:pPr>
      <w:r>
        <w:t xml:space="preserve"> </w:t>
      </w:r>
    </w:p>
    <w:p w14:paraId="1D91501C" w14:textId="068CCB92" w:rsidR="002F1520" w:rsidRDefault="002F1520" w:rsidP="000F5D98">
      <w:pPr>
        <w:spacing w:line="259" w:lineRule="auto"/>
        <w:jc w:val="both"/>
      </w:pPr>
      <w:r>
        <w:t xml:space="preserve">  </w:t>
      </w:r>
    </w:p>
    <w:p w14:paraId="65E8A09A" w14:textId="77777777" w:rsidR="002F1520" w:rsidRDefault="002F1520" w:rsidP="000F5D98">
      <w:pPr>
        <w:spacing w:line="259" w:lineRule="auto"/>
        <w:ind w:left="-5"/>
        <w:jc w:val="both"/>
      </w:pPr>
      <w:r>
        <w:rPr>
          <w:b/>
        </w:rPr>
        <w:lastRenderedPageBreak/>
        <w:t xml:space="preserve">III. Procedure </w:t>
      </w:r>
    </w:p>
    <w:p w14:paraId="28660E89" w14:textId="77777777" w:rsidR="002F1520" w:rsidRDefault="002F1520" w:rsidP="000F5D98">
      <w:pPr>
        <w:spacing w:line="259" w:lineRule="auto"/>
        <w:jc w:val="both"/>
      </w:pPr>
      <w:r>
        <w:rPr>
          <w:b/>
        </w:rPr>
        <w:t xml:space="preserve"> </w:t>
      </w:r>
    </w:p>
    <w:p w14:paraId="6E486865" w14:textId="77777777" w:rsidR="002F1520" w:rsidRDefault="002F1520" w:rsidP="000F5D98">
      <w:pPr>
        <w:pStyle w:val="Heading1"/>
        <w:ind w:left="-5"/>
        <w:jc w:val="both"/>
      </w:pPr>
      <w:r>
        <w:t xml:space="preserve">A. Appointment Procedure and Reporting </w:t>
      </w:r>
    </w:p>
    <w:p w14:paraId="6AD9E798" w14:textId="77777777" w:rsidR="002F1520" w:rsidRDefault="002F1520" w:rsidP="000F5D98">
      <w:pPr>
        <w:spacing w:line="259" w:lineRule="auto"/>
        <w:ind w:left="360"/>
        <w:jc w:val="both"/>
      </w:pPr>
      <w:r>
        <w:t xml:space="preserve"> </w:t>
      </w:r>
    </w:p>
    <w:p w14:paraId="4496AAA1" w14:textId="77777777" w:rsidR="002F1520" w:rsidRDefault="002F1520" w:rsidP="002F1520">
      <w:pPr>
        <w:numPr>
          <w:ilvl w:val="0"/>
          <w:numId w:val="36"/>
        </w:numPr>
        <w:spacing w:after="5" w:line="249" w:lineRule="auto"/>
        <w:ind w:hanging="360"/>
        <w:jc w:val="both"/>
      </w:pPr>
      <w:r>
        <w:t xml:space="preserve">The Academic Program Coordinator generally reports to, and is appointed by, the Head/Chair of the department with responsibility for the program in question. </w:t>
      </w:r>
    </w:p>
    <w:p w14:paraId="631CB86E" w14:textId="77777777" w:rsidR="002F1520" w:rsidRDefault="002F1520" w:rsidP="000F5D98">
      <w:pPr>
        <w:spacing w:line="259" w:lineRule="auto"/>
        <w:ind w:left="720"/>
        <w:jc w:val="both"/>
      </w:pPr>
      <w:r>
        <w:t xml:space="preserve"> </w:t>
      </w:r>
    </w:p>
    <w:p w14:paraId="5FDC3AE9" w14:textId="77777777" w:rsidR="002F1520" w:rsidRDefault="002F1520" w:rsidP="002F1520">
      <w:pPr>
        <w:numPr>
          <w:ilvl w:val="0"/>
          <w:numId w:val="36"/>
        </w:numPr>
        <w:spacing w:after="5" w:line="249" w:lineRule="auto"/>
        <w:ind w:hanging="360"/>
        <w:jc w:val="both"/>
      </w:pPr>
      <w:r>
        <w:t xml:space="preserve">In cases where </w:t>
      </w:r>
    </w:p>
    <w:p w14:paraId="1ECCEC84" w14:textId="77777777" w:rsidR="002F1520" w:rsidRDefault="002F1520" w:rsidP="000F5D98">
      <w:pPr>
        <w:spacing w:line="259" w:lineRule="auto"/>
        <w:ind w:left="720"/>
        <w:jc w:val="both"/>
      </w:pPr>
      <w:r>
        <w:t xml:space="preserve"> </w:t>
      </w:r>
    </w:p>
    <w:p w14:paraId="369A3EB3" w14:textId="77777777" w:rsidR="002F1520" w:rsidRDefault="002F1520" w:rsidP="002F1520">
      <w:pPr>
        <w:numPr>
          <w:ilvl w:val="1"/>
          <w:numId w:val="36"/>
        </w:numPr>
        <w:spacing w:after="5" w:line="249" w:lineRule="auto"/>
        <w:ind w:hanging="360"/>
        <w:jc w:val="both"/>
      </w:pPr>
      <w:r>
        <w:t xml:space="preserve">the responsibilities of the coordinator are accomplished by the department head; and/or </w:t>
      </w:r>
    </w:p>
    <w:p w14:paraId="56641C16" w14:textId="77777777" w:rsidR="002F1520" w:rsidRDefault="002F1520" w:rsidP="000F5D98">
      <w:pPr>
        <w:spacing w:line="259" w:lineRule="auto"/>
        <w:ind w:left="1080"/>
        <w:jc w:val="both"/>
      </w:pPr>
      <w:r>
        <w:t xml:space="preserve"> </w:t>
      </w:r>
    </w:p>
    <w:p w14:paraId="599667A2" w14:textId="77777777" w:rsidR="002F1520" w:rsidRDefault="002F1520" w:rsidP="002F1520">
      <w:pPr>
        <w:numPr>
          <w:ilvl w:val="1"/>
          <w:numId w:val="36"/>
        </w:numPr>
        <w:spacing w:after="5" w:line="249" w:lineRule="auto"/>
        <w:ind w:hanging="360"/>
        <w:jc w:val="both"/>
      </w:pPr>
      <w:r>
        <w:t xml:space="preserve">the program is an interdisciplinary program not housed in a specific department, </w:t>
      </w:r>
    </w:p>
    <w:p w14:paraId="7A12A46A" w14:textId="77777777" w:rsidR="002F1520" w:rsidRDefault="002F1520" w:rsidP="000F5D98">
      <w:pPr>
        <w:spacing w:line="259" w:lineRule="auto"/>
        <w:jc w:val="both"/>
      </w:pPr>
      <w:r>
        <w:t xml:space="preserve"> </w:t>
      </w:r>
    </w:p>
    <w:p w14:paraId="383A6C4C" w14:textId="77777777" w:rsidR="002F1520" w:rsidRDefault="002F1520" w:rsidP="000F5D98">
      <w:pPr>
        <w:ind w:left="370"/>
        <w:jc w:val="both"/>
      </w:pPr>
      <w:r w:rsidRPr="000F5D98">
        <w:t>The</w:t>
      </w:r>
      <w:r>
        <w:t xml:space="preserve"> Coordinator reports directly to, and is appointed by, the dean of the college in which the program is housed.   </w:t>
      </w:r>
    </w:p>
    <w:p w14:paraId="345967C4" w14:textId="77777777" w:rsidR="002F1520" w:rsidRDefault="002F1520" w:rsidP="000F5D98">
      <w:pPr>
        <w:spacing w:line="259" w:lineRule="auto"/>
        <w:ind w:left="360"/>
        <w:jc w:val="both"/>
      </w:pPr>
      <w:r>
        <w:t xml:space="preserve"> </w:t>
      </w:r>
    </w:p>
    <w:p w14:paraId="64EEA0F8" w14:textId="77777777" w:rsidR="002F1520" w:rsidRDefault="002F1520" w:rsidP="000F5D98">
      <w:pPr>
        <w:pStyle w:val="Heading1"/>
        <w:ind w:left="-5"/>
        <w:jc w:val="both"/>
      </w:pPr>
      <w:r>
        <w:t xml:space="preserve">B. Duration of Appointment </w:t>
      </w:r>
    </w:p>
    <w:p w14:paraId="31A230F9" w14:textId="77777777" w:rsidR="002F1520" w:rsidRDefault="002F1520" w:rsidP="000F5D98">
      <w:pPr>
        <w:spacing w:line="259" w:lineRule="auto"/>
        <w:jc w:val="both"/>
      </w:pPr>
      <w:r>
        <w:t xml:space="preserve"> </w:t>
      </w:r>
    </w:p>
    <w:p w14:paraId="363D82FF" w14:textId="77777777" w:rsidR="002F1520" w:rsidRDefault="002F1520" w:rsidP="000F5D98">
      <w:pPr>
        <w:ind w:left="370"/>
        <w:jc w:val="both"/>
      </w:pPr>
      <w:r>
        <w:t xml:space="preserve">There is no specific time limit associated with such appointments; an individual may hold the position of Academic Program Coordinator subject to maintenance of the qualifications necessary to hold the position.  The individual to whom the Academic Program Coordinator reports (department head/chair or dean) may make new appointments at any time. </w:t>
      </w:r>
    </w:p>
    <w:p w14:paraId="70D72F80" w14:textId="77777777" w:rsidR="002F1520" w:rsidRDefault="002F1520" w:rsidP="000F5D98">
      <w:pPr>
        <w:spacing w:line="259" w:lineRule="auto"/>
        <w:ind w:left="360"/>
        <w:jc w:val="both"/>
      </w:pPr>
      <w:r>
        <w:t xml:space="preserve"> </w:t>
      </w:r>
    </w:p>
    <w:p w14:paraId="0A462A8E" w14:textId="77777777" w:rsidR="002F1520" w:rsidRDefault="002F1520" w:rsidP="000F5D98">
      <w:pPr>
        <w:spacing w:line="259" w:lineRule="auto"/>
        <w:ind w:left="-5"/>
        <w:jc w:val="both"/>
      </w:pPr>
      <w:r>
        <w:rPr>
          <w:b/>
        </w:rPr>
        <w:t xml:space="preserve">IV. Reason for Revision  </w:t>
      </w:r>
    </w:p>
    <w:p w14:paraId="40DB302D" w14:textId="77777777" w:rsidR="002F1520" w:rsidRDefault="002F1520" w:rsidP="000F5D98">
      <w:pPr>
        <w:spacing w:line="259" w:lineRule="auto"/>
        <w:jc w:val="both"/>
        <w:rPr>
          <w:b/>
        </w:rPr>
      </w:pPr>
      <w:r>
        <w:rPr>
          <w:b/>
        </w:rPr>
        <w:t xml:space="preserve"> </w:t>
      </w:r>
    </w:p>
    <w:p w14:paraId="33D3F6BB" w14:textId="77777777" w:rsidR="002F1520" w:rsidRPr="002521F7" w:rsidRDefault="002F1520" w:rsidP="000F5D98">
      <w:pPr>
        <w:spacing w:line="259" w:lineRule="auto"/>
        <w:jc w:val="both"/>
      </w:pPr>
      <w:r w:rsidRPr="002521F7">
        <w:rPr>
          <w:bCs/>
        </w:rPr>
        <w:t>April 1, 2021</w:t>
      </w:r>
      <w:r>
        <w:t xml:space="preserve"> To establish formal policy</w:t>
      </w:r>
      <w:r w:rsidRPr="002521F7">
        <w:t xml:space="preserve"> </w:t>
      </w:r>
    </w:p>
    <w:p w14:paraId="65AD293E" w14:textId="77777777" w:rsidR="002F1520" w:rsidRDefault="002F1520" w:rsidP="000F5D98">
      <w:pPr>
        <w:spacing w:line="259" w:lineRule="auto"/>
        <w:jc w:val="both"/>
      </w:pPr>
    </w:p>
    <w:p w14:paraId="3F140A0A" w14:textId="77777777" w:rsidR="002F1520" w:rsidRDefault="002F1520" w:rsidP="000F5D98">
      <w:pPr>
        <w:pStyle w:val="Heading2"/>
        <w:ind w:left="-5"/>
        <w:jc w:val="both"/>
      </w:pPr>
      <w:r>
        <w:rPr>
          <w:b/>
          <w:u w:val="none"/>
        </w:rPr>
        <w:t xml:space="preserve">V. Related Policies </w:t>
      </w:r>
    </w:p>
    <w:p w14:paraId="7ED1E54A" w14:textId="77777777" w:rsidR="002F1520" w:rsidRDefault="002F1520" w:rsidP="000F5D98">
      <w:pPr>
        <w:spacing w:line="259" w:lineRule="auto"/>
        <w:jc w:val="both"/>
      </w:pPr>
    </w:p>
    <w:p w14:paraId="555648E9" w14:textId="77777777" w:rsidR="002F1520" w:rsidRDefault="002F1520" w:rsidP="000F5D98">
      <w:pPr>
        <w:spacing w:line="259" w:lineRule="auto"/>
        <w:jc w:val="both"/>
      </w:pPr>
      <w:r>
        <w:t xml:space="preserve"> </w:t>
      </w:r>
    </w:p>
    <w:p w14:paraId="4619DF56" w14:textId="77777777" w:rsidR="002F1520" w:rsidRPr="00EC55B0" w:rsidRDefault="002F1520" w:rsidP="000F5D98">
      <w:pPr>
        <w:jc w:val="both"/>
      </w:pPr>
    </w:p>
    <w:p w14:paraId="6999C5C6" w14:textId="77777777" w:rsidR="002F1520" w:rsidRPr="00EC55B0" w:rsidRDefault="002F1520" w:rsidP="000F5D98">
      <w:pPr>
        <w:jc w:val="both"/>
      </w:pPr>
    </w:p>
    <w:p w14:paraId="4B452D79" w14:textId="77777777" w:rsidR="002F1520" w:rsidRPr="00EC55B0" w:rsidRDefault="002F1520" w:rsidP="000F5D98">
      <w:pPr>
        <w:jc w:val="both"/>
      </w:pPr>
    </w:p>
    <w:p w14:paraId="37EE4E0E" w14:textId="77777777" w:rsidR="002F1520" w:rsidRDefault="002F1520" w:rsidP="000F5D98">
      <w:pPr>
        <w:jc w:val="both"/>
      </w:pPr>
    </w:p>
    <w:p w14:paraId="4C35336C" w14:textId="77777777" w:rsidR="002F1520" w:rsidRPr="00EC55B0" w:rsidRDefault="002F1520" w:rsidP="000F5D98">
      <w:pPr>
        <w:tabs>
          <w:tab w:val="left" w:pos="6300"/>
        </w:tabs>
        <w:jc w:val="both"/>
        <w:rPr>
          <w:sz w:val="16"/>
          <w:szCs w:val="16"/>
        </w:rPr>
      </w:pPr>
      <w:r>
        <w:tab/>
      </w:r>
      <w:r w:rsidRPr="00EC55B0">
        <w:rPr>
          <w:sz w:val="16"/>
          <w:szCs w:val="16"/>
        </w:rPr>
        <w:t xml:space="preserve">Adapted from: </w:t>
      </w:r>
      <w:hyperlink r:id="rId17" w:history="1">
        <w:r w:rsidRPr="00F7057D">
          <w:rPr>
            <w:rStyle w:val="Hyperlink"/>
            <w:sz w:val="16"/>
            <w:szCs w:val="16"/>
          </w:rPr>
          <w:t>https://www.wku.edu/policies/docs/index.php?policy=313</w:t>
        </w:r>
      </w:hyperlink>
      <w:r>
        <w:rPr>
          <w:sz w:val="16"/>
          <w:szCs w:val="16"/>
        </w:rPr>
        <w:t xml:space="preserve"> </w:t>
      </w:r>
    </w:p>
    <w:p w14:paraId="16BD129E" w14:textId="77777777" w:rsidR="00F766CB" w:rsidRDefault="00F766CB" w:rsidP="00F766CB">
      <w:pPr>
        <w:rPr>
          <w:rFonts w:asciiTheme="minorHAnsi" w:hAnsiTheme="minorHAnsi"/>
          <w:bCs/>
          <w:sz w:val="20"/>
          <w:szCs w:val="20"/>
        </w:rPr>
      </w:pPr>
    </w:p>
    <w:sectPr w:rsidR="00F766CB" w:rsidSect="002F1520">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9B77" w14:textId="77777777" w:rsidR="008E06F6" w:rsidRDefault="008E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2F5B" w14:textId="77777777" w:rsidR="008E06F6" w:rsidRDefault="008E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0A909A4" w:rsidR="001120BB" w:rsidRDefault="001120BB">
                              <w:pPr>
                                <w:pStyle w:val="Header"/>
                                <w:jc w:val="center"/>
                                <w:rPr>
                                  <w:caps/>
                                  <w:color w:val="FFFFFF" w:themeColor="background1"/>
                                </w:rPr>
                              </w:pPr>
                              <w:r>
                                <w:rPr>
                                  <w:caps/>
                                  <w:color w:val="FFFFFF" w:themeColor="background1"/>
                                </w:rPr>
                                <w:t xml:space="preserve">The University of Texas at Tyler Graduate Council </w:t>
                              </w:r>
                              <w:r w:rsidR="008E06F6">
                                <w:rPr>
                                  <w:caps/>
                                  <w:color w:val="FFFFFF" w:themeColor="background1"/>
                                </w:rPr>
                                <w:t>April 9</w:t>
                              </w:r>
                              <w:r>
                                <w:rPr>
                                  <w:caps/>
                                  <w:color w:val="FFFFFF" w:themeColor="background1"/>
                                </w:rPr>
                                <w:t>, 20</w:t>
                              </w:r>
                              <w:r w:rsidR="00BE49B0">
                                <w:rPr>
                                  <w:caps/>
                                  <w:color w:val="FFFFFF" w:themeColor="background1"/>
                                </w:rPr>
                                <w:t>2</w:t>
                              </w:r>
                              <w:r w:rsidR="00324503">
                                <w:rPr>
                                  <w:caps/>
                                  <w:color w:val="FFFFFF" w:themeColor="background1"/>
                                </w:rPr>
                                <w:t>1</w:t>
                              </w:r>
                              <w:r>
                                <w:rPr>
                                  <w:caps/>
                                  <w:color w:val="FFFFFF" w:themeColor="background1"/>
                                </w:rPr>
                                <w:t xml:space="preserve">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0A909A4" w:rsidR="001120BB" w:rsidRDefault="001120BB">
                        <w:pPr>
                          <w:pStyle w:val="Header"/>
                          <w:jc w:val="center"/>
                          <w:rPr>
                            <w:caps/>
                            <w:color w:val="FFFFFF" w:themeColor="background1"/>
                          </w:rPr>
                        </w:pPr>
                        <w:r>
                          <w:rPr>
                            <w:caps/>
                            <w:color w:val="FFFFFF" w:themeColor="background1"/>
                          </w:rPr>
                          <w:t xml:space="preserve">The University of Texas at Tyler Graduate Council </w:t>
                        </w:r>
                        <w:r w:rsidR="008E06F6">
                          <w:rPr>
                            <w:caps/>
                            <w:color w:val="FFFFFF" w:themeColor="background1"/>
                          </w:rPr>
                          <w:t>April 9</w:t>
                        </w:r>
                        <w:r>
                          <w:rPr>
                            <w:caps/>
                            <w:color w:val="FFFFFF" w:themeColor="background1"/>
                          </w:rPr>
                          <w:t>, 20</w:t>
                        </w:r>
                        <w:r w:rsidR="00BE49B0">
                          <w:rPr>
                            <w:caps/>
                            <w:color w:val="FFFFFF" w:themeColor="background1"/>
                          </w:rPr>
                          <w:t>2</w:t>
                        </w:r>
                        <w:r w:rsidR="00324503">
                          <w:rPr>
                            <w:caps/>
                            <w:color w:val="FFFFFF" w:themeColor="background1"/>
                          </w:rPr>
                          <w:t>1</w:t>
                        </w:r>
                        <w:r>
                          <w:rPr>
                            <w:caps/>
                            <w:color w:val="FFFFFF" w:themeColor="background1"/>
                          </w:rPr>
                          <w:t xml:space="preserve"> 1:00-3:00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7F0" w14:textId="77777777" w:rsidR="008E06F6" w:rsidRDefault="008E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18CA2AA3"/>
    <w:multiLevelType w:val="hybridMultilevel"/>
    <w:tmpl w:val="B65C5E50"/>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4"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C3BD4"/>
    <w:multiLevelType w:val="hybridMultilevel"/>
    <w:tmpl w:val="EE10600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6"/>
  </w:num>
  <w:num w:numId="3">
    <w:abstractNumId w:val="29"/>
  </w:num>
  <w:num w:numId="4">
    <w:abstractNumId w:val="19"/>
  </w:num>
  <w:num w:numId="5">
    <w:abstractNumId w:val="2"/>
  </w:num>
  <w:num w:numId="6">
    <w:abstractNumId w:val="9"/>
  </w:num>
  <w:num w:numId="7">
    <w:abstractNumId w:val="17"/>
  </w:num>
  <w:num w:numId="8">
    <w:abstractNumId w:val="16"/>
  </w:num>
  <w:num w:numId="9">
    <w:abstractNumId w:val="27"/>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num>
  <w:num w:numId="16">
    <w:abstractNumId w:val="33"/>
  </w:num>
  <w:num w:numId="17">
    <w:abstractNumId w:val="31"/>
  </w:num>
  <w:num w:numId="18">
    <w:abstractNumId w:val="25"/>
  </w:num>
  <w:num w:numId="19">
    <w:abstractNumId w:val="5"/>
  </w:num>
  <w:num w:numId="20">
    <w:abstractNumId w:val="3"/>
  </w:num>
  <w:num w:numId="21">
    <w:abstractNumId w:val="30"/>
  </w:num>
  <w:num w:numId="22">
    <w:abstractNumId w:val="22"/>
  </w:num>
  <w:num w:numId="23">
    <w:abstractNumId w:val="20"/>
  </w:num>
  <w:num w:numId="24">
    <w:abstractNumId w:val="18"/>
  </w:num>
  <w:num w:numId="25">
    <w:abstractNumId w:val="23"/>
  </w:num>
  <w:num w:numId="26">
    <w:abstractNumId w:val="10"/>
  </w:num>
  <w:num w:numId="27">
    <w:abstractNumId w:val="13"/>
  </w:num>
  <w:num w:numId="28">
    <w:abstractNumId w:val="14"/>
  </w:num>
  <w:num w:numId="29">
    <w:abstractNumId w:val="4"/>
  </w:num>
  <w:num w:numId="30">
    <w:abstractNumId w:val="1"/>
  </w:num>
  <w:num w:numId="31">
    <w:abstractNumId w:val="12"/>
  </w:num>
  <w:num w:numId="32">
    <w:abstractNumId w:val="28"/>
  </w:num>
  <w:num w:numId="33">
    <w:abstractNumId w:val="35"/>
  </w:num>
  <w:num w:numId="34">
    <w:abstractNumId w:val="15"/>
  </w:num>
  <w:num w:numId="35">
    <w:abstractNumId w:val="7"/>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0DCF"/>
    <w:rsid w:val="00011AA4"/>
    <w:rsid w:val="000213F9"/>
    <w:rsid w:val="00034519"/>
    <w:rsid w:val="000400D2"/>
    <w:rsid w:val="00044FB5"/>
    <w:rsid w:val="000722A6"/>
    <w:rsid w:val="000730AA"/>
    <w:rsid w:val="00091A2B"/>
    <w:rsid w:val="0009545D"/>
    <w:rsid w:val="000A62FA"/>
    <w:rsid w:val="000A7109"/>
    <w:rsid w:val="000A741E"/>
    <w:rsid w:val="000A7C74"/>
    <w:rsid w:val="000B70E2"/>
    <w:rsid w:val="000B782C"/>
    <w:rsid w:val="000C6BBC"/>
    <w:rsid w:val="000D0F23"/>
    <w:rsid w:val="000D788B"/>
    <w:rsid w:val="000F1549"/>
    <w:rsid w:val="00106408"/>
    <w:rsid w:val="001120BB"/>
    <w:rsid w:val="00136713"/>
    <w:rsid w:val="00140AD7"/>
    <w:rsid w:val="0014593A"/>
    <w:rsid w:val="00147263"/>
    <w:rsid w:val="001516AC"/>
    <w:rsid w:val="00151DA0"/>
    <w:rsid w:val="00154AB6"/>
    <w:rsid w:val="001554F3"/>
    <w:rsid w:val="0016104E"/>
    <w:rsid w:val="00177AFF"/>
    <w:rsid w:val="001A0593"/>
    <w:rsid w:val="001A1AFF"/>
    <w:rsid w:val="001C356E"/>
    <w:rsid w:val="001F449E"/>
    <w:rsid w:val="001F5DC0"/>
    <w:rsid w:val="001F718E"/>
    <w:rsid w:val="002023D6"/>
    <w:rsid w:val="00206B7E"/>
    <w:rsid w:val="0021792B"/>
    <w:rsid w:val="002212FE"/>
    <w:rsid w:val="0022374C"/>
    <w:rsid w:val="00224757"/>
    <w:rsid w:val="00225EF2"/>
    <w:rsid w:val="00226051"/>
    <w:rsid w:val="002312A7"/>
    <w:rsid w:val="00233498"/>
    <w:rsid w:val="00241787"/>
    <w:rsid w:val="0024420E"/>
    <w:rsid w:val="00244FAA"/>
    <w:rsid w:val="00246220"/>
    <w:rsid w:val="00250560"/>
    <w:rsid w:val="00261B2D"/>
    <w:rsid w:val="0026353E"/>
    <w:rsid w:val="00264726"/>
    <w:rsid w:val="00267645"/>
    <w:rsid w:val="00295C11"/>
    <w:rsid w:val="00296D59"/>
    <w:rsid w:val="00297C0C"/>
    <w:rsid w:val="002A7873"/>
    <w:rsid w:val="002B34BD"/>
    <w:rsid w:val="002B5EF8"/>
    <w:rsid w:val="002C233F"/>
    <w:rsid w:val="002C5528"/>
    <w:rsid w:val="002C7A4A"/>
    <w:rsid w:val="002D319B"/>
    <w:rsid w:val="002D67DA"/>
    <w:rsid w:val="002E14F6"/>
    <w:rsid w:val="002F1520"/>
    <w:rsid w:val="003125C3"/>
    <w:rsid w:val="00324503"/>
    <w:rsid w:val="00330288"/>
    <w:rsid w:val="0033211A"/>
    <w:rsid w:val="003327CE"/>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400BB6"/>
    <w:rsid w:val="00404F38"/>
    <w:rsid w:val="00407A6C"/>
    <w:rsid w:val="00414C98"/>
    <w:rsid w:val="004264A1"/>
    <w:rsid w:val="00432317"/>
    <w:rsid w:val="00433272"/>
    <w:rsid w:val="00451052"/>
    <w:rsid w:val="004521BB"/>
    <w:rsid w:val="00452AA4"/>
    <w:rsid w:val="00464569"/>
    <w:rsid w:val="00466D87"/>
    <w:rsid w:val="00471A6A"/>
    <w:rsid w:val="00475BE6"/>
    <w:rsid w:val="00477EA9"/>
    <w:rsid w:val="00491ECE"/>
    <w:rsid w:val="00495BC6"/>
    <w:rsid w:val="004B331D"/>
    <w:rsid w:val="004C1902"/>
    <w:rsid w:val="004D5DB6"/>
    <w:rsid w:val="004E004F"/>
    <w:rsid w:val="004E1295"/>
    <w:rsid w:val="004E1791"/>
    <w:rsid w:val="004E23AE"/>
    <w:rsid w:val="004F67A3"/>
    <w:rsid w:val="004F699C"/>
    <w:rsid w:val="005069E4"/>
    <w:rsid w:val="005176D2"/>
    <w:rsid w:val="005304D8"/>
    <w:rsid w:val="00534C6E"/>
    <w:rsid w:val="005370EB"/>
    <w:rsid w:val="0054244F"/>
    <w:rsid w:val="00555970"/>
    <w:rsid w:val="00570DF2"/>
    <w:rsid w:val="00571DD9"/>
    <w:rsid w:val="005766FB"/>
    <w:rsid w:val="0058598A"/>
    <w:rsid w:val="00586FAD"/>
    <w:rsid w:val="00587C98"/>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28B9"/>
    <w:rsid w:val="006201B2"/>
    <w:rsid w:val="0062327C"/>
    <w:rsid w:val="00623B9C"/>
    <w:rsid w:val="00623F25"/>
    <w:rsid w:val="00627305"/>
    <w:rsid w:val="006447BE"/>
    <w:rsid w:val="00651523"/>
    <w:rsid w:val="00652D32"/>
    <w:rsid w:val="0065672A"/>
    <w:rsid w:val="00662FCF"/>
    <w:rsid w:val="0067232A"/>
    <w:rsid w:val="006818DE"/>
    <w:rsid w:val="006A2B14"/>
    <w:rsid w:val="006A3709"/>
    <w:rsid w:val="006A741E"/>
    <w:rsid w:val="006B110E"/>
    <w:rsid w:val="006B196D"/>
    <w:rsid w:val="006C07E9"/>
    <w:rsid w:val="006D16A8"/>
    <w:rsid w:val="006D26D1"/>
    <w:rsid w:val="006E7039"/>
    <w:rsid w:val="006F0219"/>
    <w:rsid w:val="00731105"/>
    <w:rsid w:val="00734983"/>
    <w:rsid w:val="00740913"/>
    <w:rsid w:val="00743C60"/>
    <w:rsid w:val="00751D9F"/>
    <w:rsid w:val="00753D7D"/>
    <w:rsid w:val="0075787E"/>
    <w:rsid w:val="00757D10"/>
    <w:rsid w:val="00760997"/>
    <w:rsid w:val="007706F8"/>
    <w:rsid w:val="00774466"/>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805C15"/>
    <w:rsid w:val="00827B4A"/>
    <w:rsid w:val="00835D5B"/>
    <w:rsid w:val="00840CD1"/>
    <w:rsid w:val="008474C1"/>
    <w:rsid w:val="0085088E"/>
    <w:rsid w:val="00851C18"/>
    <w:rsid w:val="00853B3A"/>
    <w:rsid w:val="00853FB5"/>
    <w:rsid w:val="00857263"/>
    <w:rsid w:val="00860CF6"/>
    <w:rsid w:val="00873EA9"/>
    <w:rsid w:val="00885881"/>
    <w:rsid w:val="00887AC5"/>
    <w:rsid w:val="008A70E3"/>
    <w:rsid w:val="008B54AB"/>
    <w:rsid w:val="008C1D1E"/>
    <w:rsid w:val="008D54BF"/>
    <w:rsid w:val="008E06F6"/>
    <w:rsid w:val="008E0DF2"/>
    <w:rsid w:val="008E1CE0"/>
    <w:rsid w:val="008E2A8C"/>
    <w:rsid w:val="008E3CA3"/>
    <w:rsid w:val="008F3CE4"/>
    <w:rsid w:val="008F65B6"/>
    <w:rsid w:val="008F6FE4"/>
    <w:rsid w:val="0090543F"/>
    <w:rsid w:val="00907C91"/>
    <w:rsid w:val="009135C6"/>
    <w:rsid w:val="0091724F"/>
    <w:rsid w:val="00922756"/>
    <w:rsid w:val="0093725A"/>
    <w:rsid w:val="00955E4D"/>
    <w:rsid w:val="009566FE"/>
    <w:rsid w:val="00981B8E"/>
    <w:rsid w:val="00990990"/>
    <w:rsid w:val="00994379"/>
    <w:rsid w:val="00994D62"/>
    <w:rsid w:val="00994DC3"/>
    <w:rsid w:val="009A3A3D"/>
    <w:rsid w:val="009A3D2B"/>
    <w:rsid w:val="009A46D8"/>
    <w:rsid w:val="009A70F8"/>
    <w:rsid w:val="009B5FE7"/>
    <w:rsid w:val="009C59D9"/>
    <w:rsid w:val="009D2910"/>
    <w:rsid w:val="009D35F2"/>
    <w:rsid w:val="009D53DB"/>
    <w:rsid w:val="009E3515"/>
    <w:rsid w:val="009E4C59"/>
    <w:rsid w:val="009F4CA0"/>
    <w:rsid w:val="009F65B8"/>
    <w:rsid w:val="00A15DA4"/>
    <w:rsid w:val="00A41E54"/>
    <w:rsid w:val="00A47DB6"/>
    <w:rsid w:val="00A50052"/>
    <w:rsid w:val="00A55927"/>
    <w:rsid w:val="00A56A75"/>
    <w:rsid w:val="00A63A4F"/>
    <w:rsid w:val="00A65489"/>
    <w:rsid w:val="00A73034"/>
    <w:rsid w:val="00A74078"/>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201A7"/>
    <w:rsid w:val="00B22A27"/>
    <w:rsid w:val="00B22C78"/>
    <w:rsid w:val="00B254C2"/>
    <w:rsid w:val="00B25939"/>
    <w:rsid w:val="00B30820"/>
    <w:rsid w:val="00B3249D"/>
    <w:rsid w:val="00B33C08"/>
    <w:rsid w:val="00B35606"/>
    <w:rsid w:val="00B402CA"/>
    <w:rsid w:val="00B40737"/>
    <w:rsid w:val="00B5207D"/>
    <w:rsid w:val="00B52FB4"/>
    <w:rsid w:val="00B5578E"/>
    <w:rsid w:val="00B61855"/>
    <w:rsid w:val="00B63BA4"/>
    <w:rsid w:val="00B77FD1"/>
    <w:rsid w:val="00BC0B76"/>
    <w:rsid w:val="00BC37C3"/>
    <w:rsid w:val="00BC6386"/>
    <w:rsid w:val="00BC6C27"/>
    <w:rsid w:val="00BD0207"/>
    <w:rsid w:val="00BE198D"/>
    <w:rsid w:val="00BE49B0"/>
    <w:rsid w:val="00BE5DD0"/>
    <w:rsid w:val="00BE6FCA"/>
    <w:rsid w:val="00C0670F"/>
    <w:rsid w:val="00C15E73"/>
    <w:rsid w:val="00C2008B"/>
    <w:rsid w:val="00C24678"/>
    <w:rsid w:val="00C304F3"/>
    <w:rsid w:val="00C3063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E0F8B"/>
    <w:rsid w:val="00CE1F83"/>
    <w:rsid w:val="00CE3E2F"/>
    <w:rsid w:val="00D04326"/>
    <w:rsid w:val="00D10BE2"/>
    <w:rsid w:val="00D13E66"/>
    <w:rsid w:val="00D27B2F"/>
    <w:rsid w:val="00D31248"/>
    <w:rsid w:val="00D52CDF"/>
    <w:rsid w:val="00D52E6F"/>
    <w:rsid w:val="00D63C72"/>
    <w:rsid w:val="00D6750B"/>
    <w:rsid w:val="00D734A0"/>
    <w:rsid w:val="00D75587"/>
    <w:rsid w:val="00D77B11"/>
    <w:rsid w:val="00D83F8A"/>
    <w:rsid w:val="00DC12C0"/>
    <w:rsid w:val="00DD21AD"/>
    <w:rsid w:val="00DD2B83"/>
    <w:rsid w:val="00DD4CE7"/>
    <w:rsid w:val="00DF421D"/>
    <w:rsid w:val="00E15046"/>
    <w:rsid w:val="00E23A57"/>
    <w:rsid w:val="00E23B29"/>
    <w:rsid w:val="00E25998"/>
    <w:rsid w:val="00E3510C"/>
    <w:rsid w:val="00E435A7"/>
    <w:rsid w:val="00E43831"/>
    <w:rsid w:val="00E511AA"/>
    <w:rsid w:val="00E61403"/>
    <w:rsid w:val="00E61A16"/>
    <w:rsid w:val="00E6655C"/>
    <w:rsid w:val="00E703EA"/>
    <w:rsid w:val="00E747F8"/>
    <w:rsid w:val="00E75ACB"/>
    <w:rsid w:val="00E9415F"/>
    <w:rsid w:val="00EA5BBF"/>
    <w:rsid w:val="00EB37D1"/>
    <w:rsid w:val="00EE24B7"/>
    <w:rsid w:val="00F04D5F"/>
    <w:rsid w:val="00F10667"/>
    <w:rsid w:val="00F1551D"/>
    <w:rsid w:val="00F1572B"/>
    <w:rsid w:val="00F2712E"/>
    <w:rsid w:val="00F340C1"/>
    <w:rsid w:val="00F35D92"/>
    <w:rsid w:val="00F42C15"/>
    <w:rsid w:val="00F42C25"/>
    <w:rsid w:val="00F50A87"/>
    <w:rsid w:val="00F52798"/>
    <w:rsid w:val="00F7419B"/>
    <w:rsid w:val="00F74217"/>
    <w:rsid w:val="00F766CB"/>
    <w:rsid w:val="00F80D29"/>
    <w:rsid w:val="00F8518D"/>
    <w:rsid w:val="00F91779"/>
    <w:rsid w:val="00F956D1"/>
    <w:rsid w:val="00F96939"/>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ku.edu/policies/docs/index.php?policy=313"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University of Texas at Tyler Graduate Council April 9, 2021 1:00-3:00</vt:lpstr>
    </vt:vector>
  </TitlesOfParts>
  <Company>The University of Texas at Tyler</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April 9, 2021 1:00-3:00</dc:title>
  <dc:subject/>
  <dc:creator>Scott Marzilli</dc:creator>
  <cp:keywords/>
  <dc:description/>
  <cp:lastModifiedBy>Amanda Whitt</cp:lastModifiedBy>
  <cp:revision>2</cp:revision>
  <cp:lastPrinted>2021-01-29T15:52:00Z</cp:lastPrinted>
  <dcterms:created xsi:type="dcterms:W3CDTF">2021-04-08T15:16:00Z</dcterms:created>
  <dcterms:modified xsi:type="dcterms:W3CDTF">2021-04-08T15:16:00Z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