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3CB276C0" w:rsidR="00FB54B4" w:rsidRPr="00FB54B4" w:rsidRDefault="00A77C92"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77777777" w:rsidR="009F65B8" w:rsidRDefault="00A77C92" w:rsidP="003D2E66">
            <w:pPr>
              <w:rPr>
                <w:rFonts w:asciiTheme="minorHAnsi" w:hAnsiTheme="minorHAnsi"/>
                <w:sz w:val="20"/>
                <w:szCs w:val="20"/>
              </w:rPr>
            </w:pPr>
            <w:sdt>
              <w:sdtPr>
                <w:rPr>
                  <w:rFonts w:asciiTheme="minorHAnsi" w:hAnsiTheme="minorHAnsi"/>
                  <w:sz w:val="20"/>
                  <w:szCs w:val="20"/>
                </w:rPr>
                <w:id w:val="-1187512074"/>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A77C92"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3A88A6BC" w:rsidR="009F65B8" w:rsidRPr="008E0DF2" w:rsidRDefault="00A77C92" w:rsidP="003D2E66">
            <w:pPr>
              <w:rPr>
                <w:rFonts w:asciiTheme="minorHAnsi" w:hAnsiTheme="minorHAnsi"/>
                <w:sz w:val="20"/>
                <w:szCs w:val="20"/>
              </w:rPr>
            </w:pPr>
            <w:sdt>
              <w:sdtPr>
                <w:rPr>
                  <w:rFonts w:asciiTheme="minorHAnsi" w:hAnsiTheme="minorHAnsi"/>
                  <w:sz w:val="20"/>
                  <w:szCs w:val="20"/>
                </w:rPr>
                <w:id w:val="-918865919"/>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6FB00B2" w:rsidR="009F65B8" w:rsidRPr="008E0DF2" w:rsidRDefault="00A77C92"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A77C92"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77777777" w:rsidR="009F65B8" w:rsidRPr="008E0DF2" w:rsidRDefault="00A77C92" w:rsidP="009F65B8">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77777777" w:rsidR="009F65B8" w:rsidRPr="008E0DF2" w:rsidRDefault="00A77C92" w:rsidP="003D2E66">
            <w:pPr>
              <w:rPr>
                <w:rFonts w:asciiTheme="minorHAnsi" w:hAnsiTheme="minorHAnsi"/>
                <w:sz w:val="20"/>
                <w:szCs w:val="20"/>
              </w:rPr>
            </w:pPr>
            <w:sdt>
              <w:sdtPr>
                <w:rPr>
                  <w:rFonts w:asciiTheme="minorHAnsi" w:hAnsiTheme="minorHAnsi"/>
                  <w:sz w:val="20"/>
                  <w:szCs w:val="20"/>
                </w:rPr>
                <w:id w:val="2020042952"/>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69CE61D5" w14:textId="30A94DC1" w:rsidR="00E74A2A" w:rsidRPr="008E0DF2" w:rsidRDefault="00A77C92"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77777777" w:rsidR="009F65B8" w:rsidRPr="008E0DF2" w:rsidRDefault="00A77C92"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3D3DDA15" w:rsidR="009F65B8" w:rsidRPr="008E0DF2" w:rsidRDefault="00A77C92" w:rsidP="003D2E6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77777777" w:rsidR="009F65B8" w:rsidRPr="008E0DF2" w:rsidRDefault="00A77C92" w:rsidP="003D2E66">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1C0BCB84" w:rsidR="009F65B8" w:rsidRPr="008E0DF2" w:rsidRDefault="00A77C92"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77777777" w:rsidR="009F65B8" w:rsidRPr="008E0DF2" w:rsidRDefault="00A77C92" w:rsidP="005766FB">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9F65B8">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77777777" w:rsidR="009F65B8" w:rsidRPr="008E0DF2" w:rsidRDefault="00A77C92" w:rsidP="003D2E66">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C2E6FD2" w:rsidR="009F65B8" w:rsidRPr="008E0DF2" w:rsidRDefault="00A77C92" w:rsidP="003D2E66">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567FD">
              <w:rPr>
                <w:rFonts w:asciiTheme="minorHAnsi" w:hAnsiTheme="minorHAnsi"/>
                <w:sz w:val="20"/>
                <w:szCs w:val="20"/>
              </w:rPr>
              <w:t>Amanda Whitt</w:t>
            </w:r>
            <w:r w:rsidR="004464A1">
              <w:rPr>
                <w:rFonts w:asciiTheme="minorHAnsi" w:hAnsiTheme="minorHAnsi"/>
                <w:sz w:val="20"/>
                <w:szCs w:val="20"/>
              </w:rPr>
              <w:t xml:space="preserve"> </w:t>
            </w:r>
            <w:r w:rsidR="003D2E66">
              <w:rPr>
                <w:rFonts w:asciiTheme="minorHAnsi" w:hAnsiTheme="minorHAnsi"/>
                <w:sz w:val="20"/>
                <w:szCs w:val="20"/>
              </w:rPr>
              <w:t>(ExO)</w:t>
            </w:r>
          </w:p>
        </w:tc>
      </w:tr>
      <w:tr w:rsidR="009F65B8" w:rsidRPr="008E0DF2" w14:paraId="36F7AD0F" w14:textId="77777777" w:rsidTr="00FB54B4">
        <w:tc>
          <w:tcPr>
            <w:tcW w:w="2970" w:type="dxa"/>
          </w:tcPr>
          <w:p w14:paraId="565E4AED" w14:textId="0560F7D1" w:rsidR="009F65B8" w:rsidRPr="008E0DF2" w:rsidRDefault="00A77C92" w:rsidP="003D2E66">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3D2E66">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1A1B454A" w:rsidR="009F65B8" w:rsidRDefault="00A77C92"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w:t>
            </w:r>
            <w:r w:rsidR="006C7DAF">
              <w:rPr>
                <w:rFonts w:asciiTheme="minorHAnsi" w:hAnsiTheme="minorHAnsi"/>
                <w:sz w:val="20"/>
                <w:szCs w:val="20"/>
              </w:rPr>
              <w:t>CAS</w:t>
            </w:r>
            <w:r w:rsidR="009F65B8" w:rsidRPr="008E0DF2">
              <w:rPr>
                <w:rFonts w:asciiTheme="minorHAnsi" w:hAnsiTheme="minorHAnsi"/>
                <w:sz w:val="20"/>
                <w:szCs w:val="20"/>
              </w:rPr>
              <w:t>)</w:t>
            </w:r>
          </w:p>
        </w:tc>
        <w:tc>
          <w:tcPr>
            <w:tcW w:w="2929" w:type="dxa"/>
          </w:tcPr>
          <w:p w14:paraId="4FE0E1D4" w14:textId="5584269B" w:rsidR="009F65B8" w:rsidRDefault="00A77C92" w:rsidP="003D2E66">
            <w:pPr>
              <w:rPr>
                <w:rFonts w:asciiTheme="minorHAnsi" w:hAnsiTheme="minorHAnsi"/>
                <w:sz w:val="20"/>
                <w:szCs w:val="20"/>
              </w:rPr>
            </w:pPr>
            <w:sdt>
              <w:sdtPr>
                <w:rPr>
                  <w:rFonts w:asciiTheme="minorHAnsi" w:hAnsiTheme="minorHAnsi"/>
                  <w:sz w:val="20"/>
                  <w:szCs w:val="20"/>
                </w:rPr>
                <w:id w:val="76713303"/>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1C3631F9" w:rsidR="00A531CE" w:rsidRDefault="00A77C92"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0882DCE1" w:rsidR="00A531CE" w:rsidRDefault="00A77C92"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w:t>
            </w:r>
            <w:r w:rsidR="005518B0">
              <w:rPr>
                <w:rFonts w:asciiTheme="minorHAnsi" w:hAnsiTheme="minorHAnsi"/>
                <w:sz w:val="20"/>
                <w:szCs w:val="20"/>
              </w:rPr>
              <w:t>E</w:t>
            </w:r>
            <w:r w:rsidR="00A531CE">
              <w:rPr>
                <w:rFonts w:asciiTheme="minorHAnsi" w:hAnsiTheme="minorHAnsi"/>
                <w:sz w:val="20"/>
                <w:szCs w:val="20"/>
              </w:rPr>
              <w:t>)</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6BA12666" w:rsidR="00A531CE" w:rsidRDefault="00A531CE" w:rsidP="00A531CE">
            <w:pPr>
              <w:rPr>
                <w:rFonts w:asciiTheme="minorHAnsi" w:hAnsiTheme="minorHAnsi"/>
                <w:sz w:val="20"/>
                <w:szCs w:val="20"/>
              </w:rPr>
            </w:pP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3B1E4560" w14:textId="77777777" w:rsidTr="00400BB6">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00BB6">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6545D52D" w14:textId="77777777" w:rsidR="00FB54B4" w:rsidRDefault="003D2E66" w:rsidP="004F08D3">
            <w:pPr>
              <w:pStyle w:val="ListParagraph"/>
              <w:numPr>
                <w:ilvl w:val="0"/>
                <w:numId w:val="2"/>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2880" w:type="dxa"/>
          </w:tcPr>
          <w:p w14:paraId="7FC7E5A7" w14:textId="77777777" w:rsidR="00226051" w:rsidRPr="008E0DF2" w:rsidRDefault="00226051" w:rsidP="00091A2B">
            <w:pPr>
              <w:rPr>
                <w:rFonts w:asciiTheme="minorHAnsi" w:hAnsiTheme="minorHAnsi"/>
                <w:sz w:val="20"/>
                <w:szCs w:val="20"/>
              </w:rPr>
            </w:pPr>
          </w:p>
        </w:tc>
      </w:tr>
      <w:tr w:rsidR="00753D7D" w:rsidRPr="008E0DF2" w14:paraId="41E9BEC8" w14:textId="77777777" w:rsidTr="00400BB6">
        <w:trPr>
          <w:trHeight w:val="491"/>
        </w:trPr>
        <w:tc>
          <w:tcPr>
            <w:tcW w:w="296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5E5D45B4" w14:textId="6A1E95FA" w:rsidR="005F5294" w:rsidRPr="00C60569" w:rsidRDefault="00B77FD1" w:rsidP="004F08D3">
            <w:pPr>
              <w:pStyle w:val="ListParagraph"/>
              <w:numPr>
                <w:ilvl w:val="0"/>
                <w:numId w:val="3"/>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0F5F92">
              <w:rPr>
                <w:rFonts w:asciiTheme="minorHAnsi" w:hAnsiTheme="minorHAnsi"/>
                <w:sz w:val="20"/>
                <w:szCs w:val="20"/>
              </w:rPr>
              <w:t xml:space="preserve">March </w:t>
            </w:r>
            <w:r w:rsidR="00832E03">
              <w:rPr>
                <w:rFonts w:asciiTheme="minorHAnsi" w:hAnsiTheme="minorHAnsi"/>
                <w:sz w:val="20"/>
                <w:szCs w:val="20"/>
              </w:rPr>
              <w:t>2019</w:t>
            </w:r>
          </w:p>
          <w:p w14:paraId="1BEBC76E" w14:textId="70F1E19A" w:rsidR="00753D7D" w:rsidRPr="005F5294" w:rsidRDefault="00753D7D" w:rsidP="005F5294">
            <w:pPr>
              <w:rPr>
                <w:rFonts w:asciiTheme="minorHAnsi" w:hAnsiTheme="minorHAnsi"/>
                <w:sz w:val="20"/>
                <w:szCs w:val="20"/>
              </w:rPr>
            </w:pPr>
          </w:p>
        </w:tc>
        <w:tc>
          <w:tcPr>
            <w:tcW w:w="2880" w:type="dxa"/>
          </w:tcPr>
          <w:p w14:paraId="3F4E824E" w14:textId="58460695" w:rsidR="00753D7D" w:rsidRPr="008E0DF2" w:rsidRDefault="00753D7D" w:rsidP="00091A2B">
            <w:pPr>
              <w:rPr>
                <w:rFonts w:asciiTheme="minorHAnsi" w:hAnsiTheme="minorHAnsi"/>
                <w:sz w:val="20"/>
                <w:szCs w:val="20"/>
              </w:rPr>
            </w:pPr>
          </w:p>
        </w:tc>
      </w:tr>
      <w:tr w:rsidR="003B726E" w:rsidRPr="008E0DF2" w14:paraId="7A906ECA" w14:textId="77777777" w:rsidTr="00400BB6">
        <w:tc>
          <w:tcPr>
            <w:tcW w:w="296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4F08D3">
            <w:pPr>
              <w:pStyle w:val="ListParagraph"/>
              <w:numPr>
                <w:ilvl w:val="0"/>
                <w:numId w:val="4"/>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4F08D3">
            <w:pPr>
              <w:pStyle w:val="ListParagraph"/>
              <w:numPr>
                <w:ilvl w:val="0"/>
                <w:numId w:val="4"/>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1D916AB" w14:textId="77777777" w:rsidR="000F154A" w:rsidRDefault="000F154A" w:rsidP="004F5A47">
            <w:pPr>
              <w:rPr>
                <w:rFonts w:asciiTheme="minorHAnsi" w:hAnsiTheme="minorHAnsi"/>
                <w:sz w:val="20"/>
                <w:szCs w:val="20"/>
              </w:rPr>
            </w:pPr>
          </w:p>
          <w:p w14:paraId="5EFBECB9" w14:textId="5C41FDDC" w:rsidR="006D7509" w:rsidRPr="00295C62" w:rsidRDefault="00853B3A" w:rsidP="00C0190A">
            <w:pPr>
              <w:pStyle w:val="ListParagraph"/>
              <w:numPr>
                <w:ilvl w:val="0"/>
                <w:numId w:val="5"/>
              </w:numPr>
              <w:rPr>
                <w:rFonts w:asciiTheme="minorHAnsi" w:hAnsiTheme="minorHAnsi"/>
                <w:sz w:val="20"/>
                <w:szCs w:val="20"/>
              </w:rPr>
            </w:pPr>
            <w:r w:rsidRPr="004F5A47">
              <w:rPr>
                <w:rFonts w:asciiTheme="minorHAnsi" w:hAnsiTheme="minorHAnsi"/>
                <w:sz w:val="20"/>
                <w:szCs w:val="20"/>
              </w:rPr>
              <w:t>Curriculum Subcommittee report and recommendations (</w:t>
            </w:r>
            <w:r w:rsidR="00A77C92">
              <w:rPr>
                <w:rFonts w:asciiTheme="minorHAnsi" w:hAnsiTheme="minorHAnsi"/>
                <w:sz w:val="20"/>
                <w:szCs w:val="20"/>
              </w:rPr>
              <w:t>Nick Fessler</w:t>
            </w:r>
            <w:bookmarkStart w:id="0" w:name="_GoBack"/>
            <w:bookmarkEnd w:id="0"/>
            <w:r w:rsidRPr="004F5A47">
              <w:rPr>
                <w:rFonts w:asciiTheme="minorHAnsi" w:hAnsiTheme="minorHAnsi"/>
                <w:sz w:val="20"/>
                <w:szCs w:val="20"/>
              </w:rPr>
              <w:t>)</w:t>
            </w:r>
            <w:r w:rsidR="000C3A57">
              <w:rPr>
                <w:rFonts w:asciiTheme="minorHAnsi" w:hAnsiTheme="minorHAnsi"/>
                <w:sz w:val="20"/>
                <w:szCs w:val="20"/>
              </w:rPr>
              <w:t xml:space="preserve"> </w:t>
            </w:r>
            <w:r w:rsidR="00590AFB">
              <w:rPr>
                <w:rFonts w:asciiTheme="minorHAnsi" w:hAnsiTheme="minorHAnsi"/>
                <w:b/>
                <w:sz w:val="20"/>
                <w:szCs w:val="20"/>
              </w:rPr>
              <w:t>(See p. 3)</w:t>
            </w:r>
          </w:p>
          <w:p w14:paraId="64388F00" w14:textId="7048A45B" w:rsidR="00295C62" w:rsidRPr="00C0190A" w:rsidRDefault="00295C62" w:rsidP="00295C62">
            <w:pPr>
              <w:pStyle w:val="ListParagraph"/>
              <w:numPr>
                <w:ilvl w:val="1"/>
                <w:numId w:val="5"/>
              </w:numPr>
              <w:rPr>
                <w:rFonts w:asciiTheme="minorHAnsi" w:hAnsiTheme="minorHAnsi"/>
                <w:sz w:val="20"/>
                <w:szCs w:val="20"/>
              </w:rPr>
            </w:pPr>
            <w:r>
              <w:rPr>
                <w:rFonts w:asciiTheme="minorHAnsi" w:hAnsiTheme="minorHAnsi"/>
                <w:sz w:val="20"/>
                <w:szCs w:val="20"/>
              </w:rPr>
              <w:t>Note: OCTH 5260 Advanced Upper Extremity Rehabilitation: Splinting Assistive Technology &amp; Modalities – GC Subcommittee recommended approval to GC 3/26/19, and was approved by the GC via email vote 3/27/19.</w:t>
            </w:r>
          </w:p>
          <w:p w14:paraId="66AD5CF1" w14:textId="77777777" w:rsidR="00C0190A" w:rsidRDefault="00C0190A" w:rsidP="00C0190A">
            <w:pPr>
              <w:pStyle w:val="ListParagraph"/>
              <w:numPr>
                <w:ilvl w:val="0"/>
                <w:numId w:val="5"/>
              </w:numPr>
              <w:rPr>
                <w:rFonts w:asciiTheme="minorHAnsi" w:hAnsiTheme="minorHAnsi"/>
                <w:sz w:val="20"/>
                <w:szCs w:val="20"/>
              </w:rPr>
            </w:pPr>
            <w:r>
              <w:rPr>
                <w:rFonts w:asciiTheme="minorHAnsi" w:hAnsiTheme="minorHAnsi"/>
                <w:sz w:val="20"/>
                <w:szCs w:val="20"/>
              </w:rPr>
              <w:t xml:space="preserve">Revision Correction - Regulations for Graduate Faculty Membership (Revised January 2019) – Wolf – Exceptions to Criteria paragraph from June 2014 policy was accidentally deleted. Slightly revised version should be inserted, as follows </w:t>
            </w:r>
            <w:r w:rsidRPr="00AD535A">
              <w:rPr>
                <w:rFonts w:asciiTheme="minorHAnsi" w:hAnsiTheme="minorHAnsi"/>
                <w:b/>
                <w:sz w:val="20"/>
                <w:szCs w:val="20"/>
              </w:rPr>
              <w:t>(See p. 4-5 of Agenda):</w:t>
            </w:r>
          </w:p>
          <w:p w14:paraId="23D370A7" w14:textId="77777777" w:rsidR="00C0190A" w:rsidRPr="008D6AFC" w:rsidRDefault="00C0190A" w:rsidP="00C0190A">
            <w:pPr>
              <w:pStyle w:val="ListParagraph"/>
              <w:numPr>
                <w:ilvl w:val="1"/>
                <w:numId w:val="5"/>
              </w:numPr>
              <w:rPr>
                <w:rFonts w:asciiTheme="minorHAnsi" w:hAnsiTheme="minorHAnsi"/>
                <w:sz w:val="16"/>
                <w:szCs w:val="20"/>
              </w:rPr>
            </w:pPr>
            <w:r w:rsidRPr="00A75997">
              <w:rPr>
                <w:rFonts w:ascii="Calibri" w:hAnsi="Calibri" w:cs="Calibri"/>
                <w:color w:val="000000"/>
                <w:sz w:val="20"/>
                <w:szCs w:val="22"/>
              </w:rPr>
              <w:t>Exceptions to the Criteria for Eligibility may also be granted in specific instances by the Dean of the Graduate School. Persuasive documentation of the qualifications of an individual for whom an exception is requested must accompany a request for an exception, and the request must be supported by faculty in the program, the chairperson of the department, and the dean of the college where the exception is being requested.</w:t>
            </w:r>
          </w:p>
          <w:p w14:paraId="01958E1D" w14:textId="77777777" w:rsidR="00C0190A" w:rsidRDefault="00C0190A" w:rsidP="00C0190A">
            <w:pPr>
              <w:pStyle w:val="ListParagraph"/>
              <w:numPr>
                <w:ilvl w:val="0"/>
                <w:numId w:val="5"/>
              </w:numPr>
              <w:rPr>
                <w:rFonts w:asciiTheme="minorHAnsi" w:hAnsiTheme="minorHAnsi"/>
                <w:sz w:val="20"/>
                <w:szCs w:val="20"/>
              </w:rPr>
            </w:pPr>
            <w:r w:rsidRPr="000079F8">
              <w:rPr>
                <w:rFonts w:asciiTheme="minorHAnsi" w:hAnsiTheme="minorHAnsi"/>
                <w:b/>
                <w:sz w:val="20"/>
                <w:szCs w:val="20"/>
              </w:rPr>
              <w:t>Deferred until 4/12/19 GC Meeting</w:t>
            </w:r>
            <w:r>
              <w:rPr>
                <w:rFonts w:asciiTheme="minorHAnsi" w:hAnsiTheme="minorHAnsi"/>
                <w:sz w:val="20"/>
                <w:szCs w:val="20"/>
              </w:rPr>
              <w:t xml:space="preserve"> - Task Force Report Graduate School Representative: Dissertation Defense (Oliveras - Ortiz-Chair, Chilton, Holm)</w:t>
            </w:r>
          </w:p>
          <w:p w14:paraId="6179A109" w14:textId="77777777" w:rsidR="00C0190A" w:rsidRPr="00C0190A" w:rsidRDefault="00C0190A" w:rsidP="00C0190A">
            <w:pPr>
              <w:pStyle w:val="ListParagraph"/>
              <w:numPr>
                <w:ilvl w:val="1"/>
                <w:numId w:val="5"/>
              </w:numPr>
              <w:rPr>
                <w:rFonts w:asciiTheme="minorHAnsi" w:hAnsiTheme="minorHAnsi"/>
                <w:b/>
                <w:sz w:val="20"/>
                <w:szCs w:val="20"/>
              </w:rPr>
            </w:pPr>
            <w:r w:rsidRPr="00C0190A">
              <w:rPr>
                <w:rFonts w:asciiTheme="minorHAnsi" w:hAnsiTheme="minorHAnsi"/>
                <w:b/>
                <w:sz w:val="20"/>
                <w:szCs w:val="20"/>
              </w:rPr>
              <w:t xml:space="preserve">Follow-up after policy presentation to some programs. (WG) </w:t>
            </w:r>
          </w:p>
          <w:p w14:paraId="31B83E2E" w14:textId="77777777" w:rsidR="00C0190A" w:rsidRPr="00C0190A" w:rsidRDefault="00C0190A" w:rsidP="00C0190A">
            <w:pPr>
              <w:pStyle w:val="ListParagraph"/>
              <w:numPr>
                <w:ilvl w:val="0"/>
                <w:numId w:val="5"/>
              </w:numPr>
              <w:rPr>
                <w:rFonts w:asciiTheme="minorHAnsi" w:hAnsiTheme="minorHAnsi"/>
                <w:b/>
                <w:sz w:val="20"/>
                <w:szCs w:val="20"/>
              </w:rPr>
            </w:pPr>
            <w:r>
              <w:rPr>
                <w:rFonts w:asciiTheme="minorHAnsi" w:hAnsiTheme="minorHAnsi"/>
                <w:sz w:val="20"/>
                <w:szCs w:val="20"/>
              </w:rPr>
              <w:t xml:space="preserve">Develop evaluation metrics for graduate programs within the University Strategic Plan (Ortiz-Oliveras, Chair; Sterken, Fessler, Criswell, Nalbone, Pearson) – </w:t>
            </w:r>
            <w:r w:rsidRPr="00C0190A">
              <w:rPr>
                <w:rFonts w:asciiTheme="minorHAnsi" w:hAnsiTheme="minorHAnsi"/>
                <w:b/>
                <w:sz w:val="20"/>
                <w:szCs w:val="20"/>
              </w:rPr>
              <w:t>Status with regard to Draft of Metrics presented at March meeting?</w:t>
            </w:r>
          </w:p>
          <w:p w14:paraId="48A92EEF" w14:textId="0A31FC3C" w:rsidR="00C0190A" w:rsidRPr="00C0190A" w:rsidRDefault="00C0190A" w:rsidP="00C0190A">
            <w:pPr>
              <w:pStyle w:val="ListParagraph"/>
              <w:numPr>
                <w:ilvl w:val="0"/>
                <w:numId w:val="5"/>
              </w:numPr>
              <w:rPr>
                <w:rFonts w:asciiTheme="minorHAnsi" w:hAnsiTheme="minorHAnsi"/>
                <w:sz w:val="20"/>
                <w:szCs w:val="20"/>
              </w:rPr>
            </w:pPr>
            <w:r>
              <w:rPr>
                <w:rFonts w:asciiTheme="minorHAnsi" w:hAnsiTheme="minorHAnsi"/>
                <w:sz w:val="20"/>
                <w:szCs w:val="20"/>
              </w:rPr>
              <w:t xml:space="preserve">Graduate Research Assistant Task Force (Tammy Cowart-Chair, Nalbone, Chilton) – </w:t>
            </w:r>
            <w:r w:rsidRPr="00C0190A">
              <w:rPr>
                <w:rFonts w:asciiTheme="minorHAnsi" w:hAnsiTheme="minorHAnsi"/>
                <w:b/>
                <w:sz w:val="20"/>
                <w:szCs w:val="20"/>
              </w:rPr>
              <w:t>Update on reworded draft</w:t>
            </w:r>
            <w:r>
              <w:rPr>
                <w:rFonts w:asciiTheme="minorHAnsi" w:hAnsiTheme="minorHAnsi"/>
                <w:sz w:val="20"/>
                <w:szCs w:val="20"/>
              </w:rPr>
              <w:t xml:space="preserve"> incorporation of 3/8/19 comments? – </w:t>
            </w:r>
            <w:r w:rsidRPr="00A75997">
              <w:rPr>
                <w:rFonts w:asciiTheme="minorHAnsi" w:hAnsiTheme="minorHAnsi"/>
                <w:b/>
                <w:sz w:val="20"/>
                <w:szCs w:val="20"/>
              </w:rPr>
              <w:t>(See p</w:t>
            </w:r>
            <w:r w:rsidR="00C773E0">
              <w:rPr>
                <w:rFonts w:asciiTheme="minorHAnsi" w:hAnsiTheme="minorHAnsi"/>
                <w:b/>
                <w:sz w:val="20"/>
                <w:szCs w:val="20"/>
              </w:rPr>
              <w:t>. 6-8</w:t>
            </w:r>
            <w:r w:rsidRPr="00A75997">
              <w:rPr>
                <w:rFonts w:asciiTheme="minorHAnsi" w:hAnsiTheme="minorHAnsi"/>
                <w:b/>
                <w:sz w:val="20"/>
                <w:szCs w:val="20"/>
              </w:rPr>
              <w:t>)</w:t>
            </w:r>
          </w:p>
        </w:tc>
        <w:tc>
          <w:tcPr>
            <w:tcW w:w="2880" w:type="dxa"/>
          </w:tcPr>
          <w:p w14:paraId="1D7A5EB8" w14:textId="7C50AB85" w:rsidR="007F42B1" w:rsidRPr="008E0DF2" w:rsidRDefault="007F42B1" w:rsidP="00091A2B">
            <w:pPr>
              <w:rPr>
                <w:rFonts w:asciiTheme="minorHAnsi" w:hAnsiTheme="minorHAnsi"/>
                <w:sz w:val="20"/>
                <w:szCs w:val="20"/>
              </w:rPr>
            </w:pPr>
          </w:p>
        </w:tc>
      </w:tr>
      <w:tr w:rsidR="003B726E" w:rsidRPr="008E0DF2" w14:paraId="13D473A1" w14:textId="77777777" w:rsidTr="00400BB6">
        <w:tc>
          <w:tcPr>
            <w:tcW w:w="296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7ED7D8B7" w14:textId="24E2F406" w:rsidR="00C4243D" w:rsidRPr="005B0F13" w:rsidRDefault="00C4243D" w:rsidP="004F08D3">
            <w:pPr>
              <w:pStyle w:val="ListParagraph"/>
              <w:numPr>
                <w:ilvl w:val="0"/>
                <w:numId w:val="8"/>
              </w:numPr>
              <w:rPr>
                <w:rFonts w:asciiTheme="minorHAnsi" w:hAnsiTheme="minorHAnsi"/>
                <w:sz w:val="20"/>
                <w:szCs w:val="20"/>
              </w:rPr>
            </w:pPr>
          </w:p>
        </w:tc>
        <w:tc>
          <w:tcPr>
            <w:tcW w:w="2880" w:type="dxa"/>
          </w:tcPr>
          <w:p w14:paraId="39A1EB81" w14:textId="77777777" w:rsidR="00154AB6" w:rsidRPr="008E0DF2" w:rsidRDefault="00154AB6" w:rsidP="00091A2B">
            <w:pPr>
              <w:rPr>
                <w:rFonts w:asciiTheme="minorHAnsi" w:hAnsiTheme="minorHAnsi"/>
                <w:sz w:val="20"/>
                <w:szCs w:val="20"/>
              </w:rPr>
            </w:pPr>
          </w:p>
        </w:tc>
      </w:tr>
      <w:tr w:rsidR="00414C98" w:rsidRPr="008E0DF2" w14:paraId="43BAA63E" w14:textId="77777777" w:rsidTr="00400BB6">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9E9C141" w14:textId="36BC1E8B" w:rsidR="00A531CE" w:rsidRPr="003D5088" w:rsidRDefault="00C343AE" w:rsidP="004F08D3">
            <w:pPr>
              <w:pStyle w:val="ListParagraph"/>
              <w:numPr>
                <w:ilvl w:val="0"/>
                <w:numId w:val="1"/>
              </w:numPr>
              <w:rPr>
                <w:rFonts w:asciiTheme="minorHAnsi" w:hAnsiTheme="minorHAnsi"/>
                <w:sz w:val="20"/>
                <w:szCs w:val="20"/>
              </w:rPr>
            </w:pPr>
            <w:r>
              <w:rPr>
                <w:rFonts w:asciiTheme="minorHAnsi" w:hAnsiTheme="minorHAnsi"/>
                <w:sz w:val="20"/>
                <w:szCs w:val="20"/>
              </w:rPr>
              <w:t>Task Force – External Review Handbook update to integrate Five Pillars of UT Strategic Plan into external review documentation. Lou Ann Berman proposal to the GC is to consider a summary statement in the Self-Study Program Overview, rather than creating new sections for each pillar.</w:t>
            </w:r>
            <w:r w:rsidR="003962C2">
              <w:rPr>
                <w:rFonts w:asciiTheme="minorHAnsi" w:hAnsiTheme="minorHAnsi"/>
                <w:sz w:val="20"/>
                <w:szCs w:val="20"/>
              </w:rPr>
              <w:t xml:space="preserve"> </w:t>
            </w:r>
            <w:r w:rsidR="003962C2" w:rsidRPr="00C0190A">
              <w:rPr>
                <w:rFonts w:asciiTheme="minorHAnsi" w:hAnsiTheme="minorHAnsi"/>
                <w:b/>
                <w:sz w:val="20"/>
                <w:szCs w:val="20"/>
              </w:rPr>
              <w:t xml:space="preserve">(See p. </w:t>
            </w:r>
            <w:r w:rsidR="00C773E0">
              <w:rPr>
                <w:rFonts w:asciiTheme="minorHAnsi" w:hAnsiTheme="minorHAnsi"/>
                <w:b/>
                <w:sz w:val="20"/>
                <w:szCs w:val="20"/>
              </w:rPr>
              <w:t>9-10</w:t>
            </w:r>
            <w:r w:rsidR="00C0190A" w:rsidRPr="00C0190A">
              <w:rPr>
                <w:rFonts w:asciiTheme="minorHAnsi" w:hAnsiTheme="minorHAnsi"/>
                <w:b/>
                <w:sz w:val="20"/>
                <w:szCs w:val="20"/>
              </w:rPr>
              <w:t>)</w:t>
            </w:r>
          </w:p>
        </w:tc>
        <w:tc>
          <w:tcPr>
            <w:tcW w:w="2880" w:type="dxa"/>
          </w:tcPr>
          <w:p w14:paraId="07A7998F" w14:textId="77777777" w:rsidR="003E19CB" w:rsidRPr="008E0DF2" w:rsidRDefault="003E19CB" w:rsidP="00091A2B">
            <w:pPr>
              <w:rPr>
                <w:rFonts w:asciiTheme="minorHAnsi" w:hAnsiTheme="minorHAnsi"/>
                <w:sz w:val="20"/>
                <w:szCs w:val="20"/>
              </w:rPr>
            </w:pPr>
          </w:p>
        </w:tc>
      </w:tr>
      <w:tr w:rsidR="00C304F3" w:rsidRPr="008E0DF2" w14:paraId="2F9360FC" w14:textId="77777777" w:rsidTr="00400BB6">
        <w:tc>
          <w:tcPr>
            <w:tcW w:w="296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2880" w:type="dxa"/>
          </w:tcPr>
          <w:p w14:paraId="36CB47EF" w14:textId="77777777" w:rsidR="00C304F3" w:rsidRPr="008E0DF2" w:rsidRDefault="00C304F3" w:rsidP="00091A2B">
            <w:pPr>
              <w:rPr>
                <w:rFonts w:asciiTheme="minorHAnsi" w:hAnsiTheme="minorHAnsi"/>
                <w:sz w:val="20"/>
                <w:szCs w:val="20"/>
              </w:rPr>
            </w:pPr>
          </w:p>
        </w:tc>
      </w:tr>
      <w:tr w:rsidR="00C304F3" w:rsidRPr="008E0DF2" w14:paraId="20E692A5" w14:textId="77777777" w:rsidTr="00400BB6">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46664787" w14:textId="77777777" w:rsidR="00C304F3" w:rsidRPr="008E0DF2" w:rsidRDefault="00C304F3" w:rsidP="00091A2B">
            <w:pPr>
              <w:rPr>
                <w:rFonts w:asciiTheme="minorHAnsi" w:hAnsiTheme="minorHAnsi"/>
                <w:sz w:val="20"/>
                <w:szCs w:val="20"/>
              </w:rPr>
            </w:pPr>
          </w:p>
        </w:tc>
        <w:tc>
          <w:tcPr>
            <w:tcW w:w="2880" w:type="dxa"/>
          </w:tcPr>
          <w:p w14:paraId="5CD2DFF5" w14:textId="77777777" w:rsidR="00C304F3" w:rsidRPr="008E0DF2" w:rsidRDefault="00C304F3" w:rsidP="00091A2B">
            <w:pPr>
              <w:rPr>
                <w:rFonts w:asciiTheme="minorHAnsi" w:hAnsiTheme="minorHAnsi"/>
                <w:sz w:val="20"/>
                <w:szCs w:val="20"/>
              </w:rPr>
            </w:pPr>
          </w:p>
        </w:tc>
      </w:tr>
    </w:tbl>
    <w:p w14:paraId="48949936" w14:textId="59CB5998" w:rsidR="003B726E" w:rsidRDefault="003B726E" w:rsidP="00CA1F34">
      <w:pPr>
        <w:rPr>
          <w:rFonts w:asciiTheme="minorHAnsi" w:hAnsiTheme="minorHAnsi"/>
          <w:sz w:val="20"/>
          <w:szCs w:val="20"/>
          <w:u w:val="single"/>
        </w:rPr>
      </w:pPr>
    </w:p>
    <w:p w14:paraId="095E4D71" w14:textId="0C20F4D2" w:rsidR="00C47B3E" w:rsidRDefault="00C47B3E" w:rsidP="00CA1F34">
      <w:pPr>
        <w:rPr>
          <w:rFonts w:asciiTheme="minorHAnsi" w:hAnsiTheme="minorHAnsi"/>
          <w:b/>
          <w:color w:val="FF0000"/>
          <w:sz w:val="20"/>
          <w:szCs w:val="20"/>
        </w:rPr>
      </w:pPr>
    </w:p>
    <w:p w14:paraId="1624303C" w14:textId="77777777" w:rsidR="00E84B85" w:rsidRDefault="00E84B85" w:rsidP="00CA1F34">
      <w:pPr>
        <w:rPr>
          <w:rFonts w:asciiTheme="minorHAnsi" w:hAnsiTheme="minorHAnsi"/>
          <w:b/>
          <w:color w:val="FF0000"/>
          <w:sz w:val="20"/>
          <w:szCs w:val="20"/>
        </w:rPr>
      </w:pPr>
    </w:p>
    <w:p w14:paraId="606B315E" w14:textId="77777777" w:rsidR="00E84B85" w:rsidRDefault="00E84B85" w:rsidP="00CA1F34">
      <w:pPr>
        <w:rPr>
          <w:rFonts w:asciiTheme="minorHAnsi" w:hAnsiTheme="minorHAnsi"/>
          <w:b/>
          <w:color w:val="FF0000"/>
          <w:sz w:val="20"/>
          <w:szCs w:val="20"/>
        </w:rPr>
      </w:pPr>
    </w:p>
    <w:p w14:paraId="5B1F3852" w14:textId="77777777" w:rsidR="00E84B85" w:rsidRDefault="00E84B85" w:rsidP="00CA1F34">
      <w:pPr>
        <w:rPr>
          <w:rFonts w:asciiTheme="minorHAnsi" w:hAnsiTheme="minorHAnsi"/>
          <w:b/>
          <w:color w:val="FF0000"/>
          <w:sz w:val="20"/>
          <w:szCs w:val="20"/>
        </w:rPr>
      </w:pPr>
    </w:p>
    <w:p w14:paraId="77350B83" w14:textId="57C0879E" w:rsidR="00E84B85" w:rsidRDefault="00E84B85" w:rsidP="00CA1F34">
      <w:pPr>
        <w:rPr>
          <w:rFonts w:asciiTheme="minorHAnsi" w:hAnsiTheme="minorHAnsi"/>
          <w:b/>
          <w:color w:val="FF0000"/>
          <w:sz w:val="20"/>
          <w:szCs w:val="20"/>
        </w:rPr>
        <w:sectPr w:rsidR="00E84B85" w:rsidSect="00AC171E">
          <w:headerReference w:type="default" r:id="rId8"/>
          <w:footerReference w:type="default" r:id="rId9"/>
          <w:pgSz w:w="12240" w:h="15840"/>
          <w:pgMar w:top="720" w:right="720" w:bottom="720" w:left="720" w:header="450" w:footer="720" w:gutter="0"/>
          <w:cols w:space="720"/>
          <w:docGrid w:linePitch="360"/>
        </w:sectPr>
      </w:pPr>
    </w:p>
    <w:p w14:paraId="28DDD27F" w14:textId="77777777" w:rsidR="00AD7099" w:rsidRDefault="00AD7099" w:rsidP="00E75ABE">
      <w:pPr>
        <w:rPr>
          <w:rFonts w:asciiTheme="minorHAnsi" w:hAnsiTheme="minorHAnsi"/>
          <w:b/>
          <w:color w:val="000000" w:themeColor="text1"/>
          <w:szCs w:val="20"/>
        </w:rPr>
      </w:pPr>
    </w:p>
    <w:p w14:paraId="34419587" w14:textId="4FAAFFF4" w:rsidR="00FC1D40" w:rsidRDefault="00FC1D40" w:rsidP="00FC1D40">
      <w:pPr>
        <w:jc w:val="center"/>
        <w:rPr>
          <w:rFonts w:asciiTheme="minorHAnsi" w:hAnsiTheme="minorHAnsi"/>
          <w:b/>
          <w:color w:val="000000" w:themeColor="text1"/>
          <w:szCs w:val="20"/>
        </w:rPr>
      </w:pPr>
      <w:r>
        <w:rPr>
          <w:rFonts w:asciiTheme="minorHAnsi" w:hAnsiTheme="minorHAnsi"/>
          <w:b/>
          <w:color w:val="000000" w:themeColor="text1"/>
          <w:szCs w:val="20"/>
        </w:rPr>
        <w:t>Graduate Council – Curriculum Subcommittee Report</w:t>
      </w:r>
    </w:p>
    <w:tbl>
      <w:tblPr>
        <w:tblW w:w="14390" w:type="dxa"/>
        <w:tblLook w:val="04A0" w:firstRow="1" w:lastRow="0" w:firstColumn="1" w:lastColumn="0" w:noHBand="0" w:noVBand="1"/>
      </w:tblPr>
      <w:tblGrid>
        <w:gridCol w:w="2127"/>
        <w:gridCol w:w="1527"/>
        <w:gridCol w:w="2932"/>
        <w:gridCol w:w="1599"/>
        <w:gridCol w:w="1683"/>
        <w:gridCol w:w="1230"/>
        <w:gridCol w:w="1646"/>
        <w:gridCol w:w="1646"/>
      </w:tblGrid>
      <w:tr w:rsidR="00307F80" w:rsidRPr="00307F80" w14:paraId="42741192" w14:textId="77777777" w:rsidTr="00307F80">
        <w:trPr>
          <w:trHeight w:val="300"/>
        </w:trPr>
        <w:tc>
          <w:tcPr>
            <w:tcW w:w="212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3C90D93"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Name</w:t>
            </w:r>
          </w:p>
        </w:tc>
        <w:tc>
          <w:tcPr>
            <w:tcW w:w="1527" w:type="dxa"/>
            <w:tcBorders>
              <w:top w:val="single" w:sz="4" w:space="0" w:color="auto"/>
              <w:left w:val="nil"/>
              <w:bottom w:val="single" w:sz="4" w:space="0" w:color="auto"/>
              <w:right w:val="single" w:sz="4" w:space="0" w:color="auto"/>
            </w:tcBorders>
            <w:shd w:val="clear" w:color="4472C4" w:fill="4472C4"/>
            <w:noWrap/>
            <w:vAlign w:val="bottom"/>
            <w:hideMark/>
          </w:tcPr>
          <w:p w14:paraId="631A9B24"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RO Comments</w:t>
            </w:r>
          </w:p>
        </w:tc>
        <w:tc>
          <w:tcPr>
            <w:tcW w:w="2932" w:type="dxa"/>
            <w:tcBorders>
              <w:top w:val="single" w:sz="4" w:space="0" w:color="auto"/>
              <w:left w:val="nil"/>
              <w:bottom w:val="single" w:sz="4" w:space="0" w:color="auto"/>
              <w:right w:val="single" w:sz="4" w:space="0" w:color="auto"/>
            </w:tcBorders>
            <w:shd w:val="clear" w:color="4472C4" w:fill="4472C4"/>
            <w:noWrap/>
            <w:vAlign w:val="bottom"/>
            <w:hideMark/>
          </w:tcPr>
          <w:p w14:paraId="0EBE8CA6"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Action</w:t>
            </w:r>
          </w:p>
        </w:tc>
        <w:tc>
          <w:tcPr>
            <w:tcW w:w="1599" w:type="dxa"/>
            <w:tcBorders>
              <w:top w:val="single" w:sz="4" w:space="0" w:color="auto"/>
              <w:left w:val="nil"/>
              <w:bottom w:val="single" w:sz="4" w:space="0" w:color="auto"/>
              <w:right w:val="single" w:sz="4" w:space="0" w:color="auto"/>
            </w:tcBorders>
            <w:shd w:val="clear" w:color="4472C4" w:fill="4472C4"/>
            <w:noWrap/>
            <w:vAlign w:val="bottom"/>
            <w:hideMark/>
          </w:tcPr>
          <w:p w14:paraId="3F26643E" w14:textId="77777777" w:rsidR="00307F80" w:rsidRPr="00307F80" w:rsidRDefault="00307F80" w:rsidP="00307F80">
            <w:pPr>
              <w:rPr>
                <w:rFonts w:ascii="Calibri" w:hAnsi="Calibri" w:cs="Calibri"/>
                <w:b/>
                <w:bCs/>
                <w:color w:val="FFFFFF"/>
                <w:sz w:val="22"/>
                <w:szCs w:val="22"/>
              </w:rPr>
            </w:pPr>
            <w:proofErr w:type="spellStart"/>
            <w:r w:rsidRPr="00307F80">
              <w:rPr>
                <w:rFonts w:ascii="Calibri" w:hAnsi="Calibri" w:cs="Calibri"/>
                <w:b/>
                <w:bCs/>
                <w:color w:val="FFFFFF"/>
                <w:sz w:val="22"/>
                <w:szCs w:val="22"/>
              </w:rPr>
              <w:t>Recom</w:t>
            </w:r>
            <w:proofErr w:type="spellEnd"/>
            <w:r w:rsidRPr="00307F80">
              <w:rPr>
                <w:rFonts w:ascii="Calibri" w:hAnsi="Calibri" w:cs="Calibri"/>
                <w:b/>
                <w:bCs/>
                <w:color w:val="FFFFFF"/>
                <w:sz w:val="22"/>
                <w:szCs w:val="22"/>
              </w:rPr>
              <w:t>.</w:t>
            </w:r>
          </w:p>
        </w:tc>
        <w:tc>
          <w:tcPr>
            <w:tcW w:w="1683" w:type="dxa"/>
            <w:tcBorders>
              <w:top w:val="single" w:sz="4" w:space="0" w:color="auto"/>
              <w:left w:val="nil"/>
              <w:bottom w:val="single" w:sz="4" w:space="0" w:color="auto"/>
              <w:right w:val="single" w:sz="4" w:space="0" w:color="auto"/>
            </w:tcBorders>
            <w:shd w:val="clear" w:color="4472C4" w:fill="4472C4"/>
            <w:noWrap/>
            <w:vAlign w:val="bottom"/>
            <w:hideMark/>
          </w:tcPr>
          <w:p w14:paraId="3EE0713F"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Status</w:t>
            </w:r>
          </w:p>
        </w:tc>
        <w:tc>
          <w:tcPr>
            <w:tcW w:w="1230" w:type="dxa"/>
            <w:tcBorders>
              <w:top w:val="single" w:sz="4" w:space="0" w:color="auto"/>
              <w:left w:val="nil"/>
              <w:bottom w:val="single" w:sz="4" w:space="0" w:color="auto"/>
              <w:right w:val="single" w:sz="4" w:space="0" w:color="auto"/>
            </w:tcBorders>
            <w:shd w:val="clear" w:color="4472C4" w:fill="4472C4"/>
            <w:noWrap/>
            <w:vAlign w:val="bottom"/>
            <w:hideMark/>
          </w:tcPr>
          <w:p w14:paraId="436545BE"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Approval</w:t>
            </w:r>
          </w:p>
        </w:tc>
        <w:tc>
          <w:tcPr>
            <w:tcW w:w="1646" w:type="dxa"/>
            <w:tcBorders>
              <w:top w:val="single" w:sz="4" w:space="0" w:color="auto"/>
              <w:left w:val="nil"/>
              <w:bottom w:val="single" w:sz="4" w:space="0" w:color="auto"/>
              <w:right w:val="single" w:sz="4" w:space="0" w:color="auto"/>
            </w:tcBorders>
            <w:shd w:val="clear" w:color="4472C4" w:fill="4472C4"/>
            <w:noWrap/>
            <w:vAlign w:val="bottom"/>
            <w:hideMark/>
          </w:tcPr>
          <w:p w14:paraId="1F316B48" w14:textId="77777777" w:rsidR="00307F80" w:rsidRPr="00307F80" w:rsidRDefault="00307F80" w:rsidP="00307F80">
            <w:pPr>
              <w:rPr>
                <w:rFonts w:ascii="Calibri" w:hAnsi="Calibri" w:cs="Calibri"/>
                <w:b/>
                <w:bCs/>
                <w:color w:val="FFFFFF"/>
                <w:sz w:val="22"/>
                <w:szCs w:val="22"/>
              </w:rPr>
            </w:pPr>
            <w:r w:rsidRPr="00307F80">
              <w:rPr>
                <w:rFonts w:ascii="Calibri" w:hAnsi="Calibri" w:cs="Calibri"/>
                <w:b/>
                <w:bCs/>
                <w:color w:val="FFFFFF"/>
                <w:sz w:val="22"/>
                <w:szCs w:val="22"/>
              </w:rPr>
              <w:t>Date Changed</w:t>
            </w:r>
          </w:p>
        </w:tc>
        <w:tc>
          <w:tcPr>
            <w:tcW w:w="1646" w:type="dxa"/>
            <w:tcBorders>
              <w:top w:val="single" w:sz="4" w:space="0" w:color="auto"/>
              <w:left w:val="nil"/>
              <w:bottom w:val="single" w:sz="4" w:space="0" w:color="auto"/>
              <w:right w:val="single" w:sz="4" w:space="0" w:color="auto"/>
            </w:tcBorders>
            <w:shd w:val="clear" w:color="4472C4" w:fill="4472C4"/>
            <w:noWrap/>
            <w:vAlign w:val="bottom"/>
            <w:hideMark/>
          </w:tcPr>
          <w:p w14:paraId="45ED7A27" w14:textId="77777777" w:rsidR="00307F80" w:rsidRPr="00307F80" w:rsidRDefault="00307F80" w:rsidP="00307F80">
            <w:pPr>
              <w:rPr>
                <w:rFonts w:ascii="Calibri" w:hAnsi="Calibri" w:cs="Calibri"/>
                <w:b/>
                <w:bCs/>
                <w:color w:val="FFFFFF"/>
                <w:sz w:val="22"/>
                <w:szCs w:val="22"/>
              </w:rPr>
            </w:pPr>
            <w:proofErr w:type="spellStart"/>
            <w:r w:rsidRPr="00307F80">
              <w:rPr>
                <w:rFonts w:ascii="Calibri" w:hAnsi="Calibri" w:cs="Calibri"/>
                <w:b/>
                <w:bCs/>
                <w:color w:val="FFFFFF"/>
                <w:sz w:val="22"/>
                <w:szCs w:val="22"/>
              </w:rPr>
              <w:t>Misc</w:t>
            </w:r>
            <w:proofErr w:type="spellEnd"/>
          </w:p>
        </w:tc>
      </w:tr>
      <w:tr w:rsidR="00307F80" w:rsidRPr="00307F80" w14:paraId="6FD50324" w14:textId="77777777" w:rsidTr="00307F8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9D2DAFD" w14:textId="77777777" w:rsidR="00307F80" w:rsidRPr="00307F80" w:rsidRDefault="00A77C92" w:rsidP="00307F80">
            <w:pPr>
              <w:rPr>
                <w:rFonts w:ascii="Calibri" w:hAnsi="Calibri" w:cs="Calibri"/>
                <w:color w:val="0563C1"/>
                <w:sz w:val="22"/>
                <w:szCs w:val="22"/>
                <w:u w:val="single"/>
              </w:rPr>
            </w:pPr>
            <w:hyperlink r:id="rId10" w:history="1">
              <w:r w:rsidR="00307F80" w:rsidRPr="00307F80">
                <w:rPr>
                  <w:rFonts w:ascii="Calibri" w:hAnsi="Calibri" w:cs="Calibri"/>
                  <w:color w:val="0563C1"/>
                  <w:sz w:val="22"/>
                  <w:szCs w:val="22"/>
                  <w:u w:val="single"/>
                </w:rPr>
                <w:t>MENG 5341 Advanced Thermodynamics</w:t>
              </w:r>
            </w:hyperlink>
          </w:p>
        </w:tc>
        <w:tc>
          <w:tcPr>
            <w:tcW w:w="1527" w:type="dxa"/>
            <w:tcBorders>
              <w:top w:val="nil"/>
              <w:left w:val="nil"/>
              <w:bottom w:val="single" w:sz="4" w:space="0" w:color="auto"/>
              <w:right w:val="single" w:sz="4" w:space="0" w:color="auto"/>
            </w:tcBorders>
            <w:shd w:val="clear" w:color="auto" w:fill="auto"/>
            <w:noWrap/>
            <w:vAlign w:val="bottom"/>
            <w:hideMark/>
          </w:tcPr>
          <w:p w14:paraId="29280AA8"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Made in CMS</w:t>
            </w:r>
          </w:p>
        </w:tc>
        <w:tc>
          <w:tcPr>
            <w:tcW w:w="2932" w:type="dxa"/>
            <w:tcBorders>
              <w:top w:val="nil"/>
              <w:left w:val="nil"/>
              <w:bottom w:val="single" w:sz="4" w:space="0" w:color="auto"/>
              <w:right w:val="single" w:sz="4" w:space="0" w:color="auto"/>
            </w:tcBorders>
            <w:shd w:val="clear" w:color="auto" w:fill="auto"/>
            <w:noWrap/>
            <w:vAlign w:val="bottom"/>
            <w:hideMark/>
          </w:tcPr>
          <w:p w14:paraId="002D947E"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Changes completed by College Curriculum</w:t>
            </w:r>
          </w:p>
        </w:tc>
        <w:tc>
          <w:tcPr>
            <w:tcW w:w="1599" w:type="dxa"/>
            <w:tcBorders>
              <w:top w:val="nil"/>
              <w:left w:val="nil"/>
              <w:bottom w:val="single" w:sz="4" w:space="0" w:color="auto"/>
              <w:right w:val="single" w:sz="4" w:space="0" w:color="auto"/>
            </w:tcBorders>
            <w:shd w:val="clear" w:color="auto" w:fill="auto"/>
            <w:noWrap/>
            <w:vAlign w:val="bottom"/>
            <w:hideMark/>
          </w:tcPr>
          <w:p w14:paraId="6FA667DC"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Approve</w:t>
            </w:r>
          </w:p>
        </w:tc>
        <w:tc>
          <w:tcPr>
            <w:tcW w:w="1683" w:type="dxa"/>
            <w:tcBorders>
              <w:top w:val="nil"/>
              <w:left w:val="nil"/>
              <w:bottom w:val="single" w:sz="4" w:space="0" w:color="auto"/>
              <w:right w:val="single" w:sz="4" w:space="0" w:color="auto"/>
            </w:tcBorders>
            <w:shd w:val="clear" w:color="auto" w:fill="auto"/>
            <w:noWrap/>
            <w:vAlign w:val="bottom"/>
            <w:hideMark/>
          </w:tcPr>
          <w:p w14:paraId="5DEB44B4"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Comp.</w:t>
            </w:r>
          </w:p>
        </w:tc>
        <w:tc>
          <w:tcPr>
            <w:tcW w:w="1230" w:type="dxa"/>
            <w:tcBorders>
              <w:top w:val="nil"/>
              <w:left w:val="nil"/>
              <w:bottom w:val="single" w:sz="4" w:space="0" w:color="auto"/>
              <w:right w:val="single" w:sz="4" w:space="0" w:color="auto"/>
            </w:tcBorders>
            <w:shd w:val="clear" w:color="auto" w:fill="auto"/>
            <w:noWrap/>
            <w:vAlign w:val="bottom"/>
            <w:hideMark/>
          </w:tcPr>
          <w:p w14:paraId="25B79744"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0F32D86F" w14:textId="77777777" w:rsidR="00307F80" w:rsidRPr="00307F80" w:rsidRDefault="00307F80" w:rsidP="00307F80">
            <w:pPr>
              <w:jc w:val="right"/>
              <w:rPr>
                <w:rFonts w:ascii="Calibri" w:hAnsi="Calibri" w:cs="Calibri"/>
                <w:color w:val="000000"/>
                <w:sz w:val="22"/>
                <w:szCs w:val="22"/>
              </w:rPr>
            </w:pPr>
            <w:r w:rsidRPr="00307F80">
              <w:rPr>
                <w:rFonts w:ascii="Calibri" w:hAnsi="Calibri" w:cs="Calibri"/>
                <w:color w:val="000000"/>
                <w:sz w:val="22"/>
                <w:szCs w:val="22"/>
              </w:rPr>
              <w:t>1-Apr-19</w:t>
            </w:r>
          </w:p>
        </w:tc>
        <w:tc>
          <w:tcPr>
            <w:tcW w:w="1646" w:type="dxa"/>
            <w:tcBorders>
              <w:top w:val="nil"/>
              <w:left w:val="nil"/>
              <w:bottom w:val="single" w:sz="4" w:space="0" w:color="auto"/>
              <w:right w:val="single" w:sz="4" w:space="0" w:color="auto"/>
            </w:tcBorders>
            <w:shd w:val="clear" w:color="auto" w:fill="auto"/>
            <w:noWrap/>
            <w:vAlign w:val="bottom"/>
            <w:hideMark/>
          </w:tcPr>
          <w:p w14:paraId="2CA5CDCD"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r>
      <w:tr w:rsidR="00307F80" w:rsidRPr="00307F80" w14:paraId="16C5F7D8" w14:textId="77777777" w:rsidTr="00307F80">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9E67BD4" w14:textId="77777777" w:rsidR="00307F80" w:rsidRPr="00307F80" w:rsidRDefault="00A77C92" w:rsidP="00307F80">
            <w:pPr>
              <w:rPr>
                <w:rFonts w:ascii="Calibri" w:hAnsi="Calibri" w:cs="Calibri"/>
                <w:color w:val="0563C1"/>
                <w:sz w:val="22"/>
                <w:szCs w:val="22"/>
                <w:u w:val="single"/>
              </w:rPr>
            </w:pPr>
            <w:hyperlink r:id="rId11" w:history="1">
              <w:r w:rsidR="00307F80" w:rsidRPr="00307F80">
                <w:rPr>
                  <w:rFonts w:ascii="Calibri" w:hAnsi="Calibri" w:cs="Calibri"/>
                  <w:color w:val="0563C1"/>
                  <w:sz w:val="22"/>
                  <w:szCs w:val="22"/>
                  <w:u w:val="single"/>
                </w:rPr>
                <w:t>MENG 5342 Energy Management</w:t>
              </w:r>
            </w:hyperlink>
          </w:p>
        </w:tc>
        <w:tc>
          <w:tcPr>
            <w:tcW w:w="1527" w:type="dxa"/>
            <w:tcBorders>
              <w:top w:val="nil"/>
              <w:left w:val="nil"/>
              <w:bottom w:val="single" w:sz="4" w:space="0" w:color="auto"/>
              <w:right w:val="single" w:sz="4" w:space="0" w:color="auto"/>
            </w:tcBorders>
            <w:shd w:val="clear" w:color="auto" w:fill="auto"/>
            <w:noWrap/>
            <w:vAlign w:val="bottom"/>
            <w:hideMark/>
          </w:tcPr>
          <w:p w14:paraId="7A2968AD"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Made in CMS</w:t>
            </w:r>
          </w:p>
        </w:tc>
        <w:tc>
          <w:tcPr>
            <w:tcW w:w="2932" w:type="dxa"/>
            <w:tcBorders>
              <w:top w:val="nil"/>
              <w:left w:val="nil"/>
              <w:bottom w:val="single" w:sz="4" w:space="0" w:color="auto"/>
              <w:right w:val="single" w:sz="4" w:space="0" w:color="auto"/>
            </w:tcBorders>
            <w:shd w:val="clear" w:color="auto" w:fill="auto"/>
            <w:noWrap/>
            <w:vAlign w:val="bottom"/>
            <w:hideMark/>
          </w:tcPr>
          <w:p w14:paraId="21A1ADEF"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Changes completed by College Curriculum</w:t>
            </w:r>
          </w:p>
        </w:tc>
        <w:tc>
          <w:tcPr>
            <w:tcW w:w="1599" w:type="dxa"/>
            <w:tcBorders>
              <w:top w:val="nil"/>
              <w:left w:val="nil"/>
              <w:bottom w:val="single" w:sz="4" w:space="0" w:color="auto"/>
              <w:right w:val="single" w:sz="4" w:space="0" w:color="auto"/>
            </w:tcBorders>
            <w:shd w:val="clear" w:color="auto" w:fill="auto"/>
            <w:noWrap/>
            <w:vAlign w:val="bottom"/>
            <w:hideMark/>
          </w:tcPr>
          <w:p w14:paraId="529A71AE"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Approve</w:t>
            </w:r>
          </w:p>
        </w:tc>
        <w:tc>
          <w:tcPr>
            <w:tcW w:w="1683" w:type="dxa"/>
            <w:tcBorders>
              <w:top w:val="nil"/>
              <w:left w:val="nil"/>
              <w:bottom w:val="single" w:sz="4" w:space="0" w:color="auto"/>
              <w:right w:val="single" w:sz="4" w:space="0" w:color="auto"/>
            </w:tcBorders>
            <w:shd w:val="clear" w:color="auto" w:fill="auto"/>
            <w:noWrap/>
            <w:vAlign w:val="bottom"/>
            <w:hideMark/>
          </w:tcPr>
          <w:p w14:paraId="0A080179"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Comp.</w:t>
            </w:r>
          </w:p>
        </w:tc>
        <w:tc>
          <w:tcPr>
            <w:tcW w:w="1230" w:type="dxa"/>
            <w:tcBorders>
              <w:top w:val="nil"/>
              <w:left w:val="nil"/>
              <w:bottom w:val="single" w:sz="4" w:space="0" w:color="auto"/>
              <w:right w:val="single" w:sz="4" w:space="0" w:color="auto"/>
            </w:tcBorders>
            <w:shd w:val="clear" w:color="auto" w:fill="auto"/>
            <w:noWrap/>
            <w:vAlign w:val="bottom"/>
            <w:hideMark/>
          </w:tcPr>
          <w:p w14:paraId="702D2997"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0FA16D43" w14:textId="77777777" w:rsidR="00307F80" w:rsidRPr="00307F80" w:rsidRDefault="00307F80" w:rsidP="00307F80">
            <w:pPr>
              <w:jc w:val="right"/>
              <w:rPr>
                <w:rFonts w:ascii="Calibri" w:hAnsi="Calibri" w:cs="Calibri"/>
                <w:color w:val="000000"/>
                <w:sz w:val="22"/>
                <w:szCs w:val="22"/>
              </w:rPr>
            </w:pPr>
            <w:r w:rsidRPr="00307F80">
              <w:rPr>
                <w:rFonts w:ascii="Calibri" w:hAnsi="Calibri" w:cs="Calibri"/>
                <w:color w:val="000000"/>
                <w:sz w:val="22"/>
                <w:szCs w:val="22"/>
              </w:rPr>
              <w:t>1-Apr-19</w:t>
            </w:r>
          </w:p>
        </w:tc>
        <w:tc>
          <w:tcPr>
            <w:tcW w:w="1646" w:type="dxa"/>
            <w:tcBorders>
              <w:top w:val="nil"/>
              <w:left w:val="nil"/>
              <w:bottom w:val="single" w:sz="4" w:space="0" w:color="auto"/>
              <w:right w:val="single" w:sz="4" w:space="0" w:color="auto"/>
            </w:tcBorders>
            <w:shd w:val="clear" w:color="auto" w:fill="auto"/>
            <w:noWrap/>
            <w:vAlign w:val="bottom"/>
            <w:hideMark/>
          </w:tcPr>
          <w:p w14:paraId="3EE949EE"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r>
      <w:tr w:rsidR="00307F80" w:rsidRPr="00307F80" w14:paraId="0CBEBF6A" w14:textId="77777777" w:rsidTr="00307F80">
        <w:trPr>
          <w:trHeight w:val="9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3C1DEC7" w14:textId="77777777" w:rsidR="00307F80" w:rsidRPr="00307F80" w:rsidRDefault="00A77C92" w:rsidP="00307F80">
            <w:pPr>
              <w:rPr>
                <w:rFonts w:ascii="Calibri" w:hAnsi="Calibri" w:cs="Calibri"/>
                <w:color w:val="0563C1"/>
                <w:sz w:val="22"/>
                <w:szCs w:val="22"/>
                <w:u w:val="single"/>
              </w:rPr>
            </w:pPr>
            <w:hyperlink r:id="rId12" w:history="1">
              <w:r w:rsidR="00307F80" w:rsidRPr="00307F80">
                <w:rPr>
                  <w:rFonts w:ascii="Calibri" w:hAnsi="Calibri" w:cs="Calibri"/>
                  <w:color w:val="0563C1"/>
                  <w:sz w:val="22"/>
                  <w:szCs w:val="22"/>
                  <w:u w:val="single"/>
                </w:rPr>
                <w:t>Nursing M.S.</w:t>
              </w:r>
            </w:hyperlink>
          </w:p>
        </w:tc>
        <w:tc>
          <w:tcPr>
            <w:tcW w:w="1527" w:type="dxa"/>
            <w:tcBorders>
              <w:top w:val="nil"/>
              <w:left w:val="nil"/>
              <w:bottom w:val="single" w:sz="4" w:space="0" w:color="auto"/>
              <w:right w:val="single" w:sz="4" w:space="0" w:color="auto"/>
            </w:tcBorders>
            <w:shd w:val="clear" w:color="auto" w:fill="auto"/>
            <w:noWrap/>
            <w:vAlign w:val="bottom"/>
            <w:hideMark/>
          </w:tcPr>
          <w:p w14:paraId="7F8C52CE"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Made in CMS</w:t>
            </w:r>
          </w:p>
        </w:tc>
        <w:tc>
          <w:tcPr>
            <w:tcW w:w="2932" w:type="dxa"/>
            <w:tcBorders>
              <w:top w:val="nil"/>
              <w:left w:val="nil"/>
              <w:bottom w:val="single" w:sz="4" w:space="0" w:color="auto"/>
              <w:right w:val="single" w:sz="4" w:space="0" w:color="auto"/>
            </w:tcBorders>
            <w:shd w:val="clear" w:color="auto" w:fill="auto"/>
            <w:vAlign w:val="bottom"/>
            <w:hideMark/>
          </w:tcPr>
          <w:p w14:paraId="455192DC"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New catalog copy seems to conflict between six required courses and four required courses which is it?</w:t>
            </w:r>
          </w:p>
        </w:tc>
        <w:tc>
          <w:tcPr>
            <w:tcW w:w="1599" w:type="dxa"/>
            <w:tcBorders>
              <w:top w:val="nil"/>
              <w:left w:val="nil"/>
              <w:bottom w:val="single" w:sz="4" w:space="0" w:color="auto"/>
              <w:right w:val="single" w:sz="4" w:space="0" w:color="auto"/>
            </w:tcBorders>
            <w:shd w:val="clear" w:color="auto" w:fill="auto"/>
            <w:noWrap/>
            <w:vAlign w:val="bottom"/>
            <w:hideMark/>
          </w:tcPr>
          <w:p w14:paraId="657BDCA8"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Approve</w:t>
            </w:r>
          </w:p>
        </w:tc>
        <w:tc>
          <w:tcPr>
            <w:tcW w:w="1683" w:type="dxa"/>
            <w:tcBorders>
              <w:top w:val="nil"/>
              <w:left w:val="nil"/>
              <w:bottom w:val="single" w:sz="4" w:space="0" w:color="auto"/>
              <w:right w:val="single" w:sz="4" w:space="0" w:color="auto"/>
            </w:tcBorders>
            <w:shd w:val="clear" w:color="auto" w:fill="auto"/>
            <w:vAlign w:val="bottom"/>
            <w:hideMark/>
          </w:tcPr>
          <w:p w14:paraId="5BCD17F5"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Completed Edits</w:t>
            </w:r>
          </w:p>
        </w:tc>
        <w:tc>
          <w:tcPr>
            <w:tcW w:w="1230" w:type="dxa"/>
            <w:tcBorders>
              <w:top w:val="nil"/>
              <w:left w:val="nil"/>
              <w:bottom w:val="single" w:sz="4" w:space="0" w:color="auto"/>
              <w:right w:val="single" w:sz="4" w:space="0" w:color="auto"/>
            </w:tcBorders>
            <w:shd w:val="clear" w:color="auto" w:fill="auto"/>
            <w:noWrap/>
            <w:vAlign w:val="bottom"/>
            <w:hideMark/>
          </w:tcPr>
          <w:p w14:paraId="661D06AA"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0295A0D9" w14:textId="77777777" w:rsidR="00307F80" w:rsidRPr="00307F80" w:rsidRDefault="00307F80" w:rsidP="00307F80">
            <w:pPr>
              <w:jc w:val="right"/>
              <w:rPr>
                <w:rFonts w:ascii="Calibri" w:hAnsi="Calibri" w:cs="Calibri"/>
                <w:color w:val="000000"/>
                <w:sz w:val="22"/>
                <w:szCs w:val="22"/>
              </w:rPr>
            </w:pPr>
            <w:r w:rsidRPr="00307F80">
              <w:rPr>
                <w:rFonts w:ascii="Calibri" w:hAnsi="Calibri" w:cs="Calibri"/>
                <w:color w:val="000000"/>
                <w:sz w:val="22"/>
                <w:szCs w:val="22"/>
              </w:rPr>
              <w:t>2-Apr-19</w:t>
            </w:r>
          </w:p>
        </w:tc>
        <w:tc>
          <w:tcPr>
            <w:tcW w:w="1646" w:type="dxa"/>
            <w:tcBorders>
              <w:top w:val="nil"/>
              <w:left w:val="nil"/>
              <w:bottom w:val="single" w:sz="4" w:space="0" w:color="auto"/>
              <w:right w:val="single" w:sz="4" w:space="0" w:color="auto"/>
            </w:tcBorders>
            <w:shd w:val="clear" w:color="auto" w:fill="auto"/>
            <w:noWrap/>
            <w:vAlign w:val="bottom"/>
            <w:hideMark/>
          </w:tcPr>
          <w:p w14:paraId="41484653" w14:textId="77777777" w:rsidR="00307F80" w:rsidRPr="00307F80" w:rsidRDefault="00307F80" w:rsidP="00307F80">
            <w:pPr>
              <w:rPr>
                <w:rFonts w:ascii="Calibri" w:hAnsi="Calibri" w:cs="Calibri"/>
                <w:color w:val="000000"/>
                <w:sz w:val="22"/>
                <w:szCs w:val="22"/>
              </w:rPr>
            </w:pPr>
            <w:r w:rsidRPr="00307F80">
              <w:rPr>
                <w:rFonts w:ascii="Calibri" w:hAnsi="Calibri" w:cs="Calibri"/>
                <w:color w:val="000000"/>
                <w:sz w:val="22"/>
                <w:szCs w:val="22"/>
              </w:rPr>
              <w:t> </w:t>
            </w:r>
          </w:p>
        </w:tc>
      </w:tr>
    </w:tbl>
    <w:p w14:paraId="6E2A0349" w14:textId="77777777" w:rsidR="00307F80" w:rsidRDefault="00307F80" w:rsidP="00307F80">
      <w:pPr>
        <w:rPr>
          <w:rFonts w:asciiTheme="minorHAnsi" w:hAnsiTheme="minorHAnsi"/>
          <w:b/>
          <w:color w:val="000000" w:themeColor="text1"/>
          <w:szCs w:val="20"/>
        </w:rPr>
      </w:pPr>
    </w:p>
    <w:p w14:paraId="36BD65E2" w14:textId="1AFA71DC" w:rsidR="00AD7099" w:rsidRDefault="00AD7099" w:rsidP="00FC1D40">
      <w:pPr>
        <w:jc w:val="center"/>
        <w:rPr>
          <w:rFonts w:asciiTheme="minorHAnsi" w:hAnsiTheme="minorHAnsi"/>
          <w:b/>
          <w:color w:val="000000" w:themeColor="text1"/>
          <w:szCs w:val="20"/>
        </w:rPr>
      </w:pPr>
    </w:p>
    <w:p w14:paraId="14EEC7D6" w14:textId="77777777" w:rsidR="00AD7099" w:rsidRDefault="00AD7099" w:rsidP="00AD7099">
      <w:pPr>
        <w:rPr>
          <w:rFonts w:asciiTheme="minorHAnsi" w:hAnsiTheme="minorHAnsi"/>
          <w:b/>
          <w:color w:val="000000" w:themeColor="text1"/>
          <w:szCs w:val="20"/>
        </w:rPr>
      </w:pPr>
    </w:p>
    <w:p w14:paraId="7C22D6D9" w14:textId="5F994475" w:rsidR="00FC1D40" w:rsidRDefault="00FC1D40" w:rsidP="00CA1F34">
      <w:pPr>
        <w:rPr>
          <w:rFonts w:asciiTheme="minorHAnsi" w:hAnsiTheme="minorHAnsi"/>
          <w:b/>
          <w:color w:val="FF0000"/>
          <w:sz w:val="20"/>
          <w:szCs w:val="20"/>
        </w:rPr>
      </w:pPr>
    </w:p>
    <w:p w14:paraId="56001CD6" w14:textId="5D5F24C4" w:rsidR="0056338A" w:rsidRDefault="0056338A" w:rsidP="00FC1D40">
      <w:pPr>
        <w:rPr>
          <w:rFonts w:asciiTheme="minorHAnsi" w:hAnsiTheme="minorHAnsi"/>
          <w:b/>
          <w:color w:val="FF0000"/>
          <w:sz w:val="20"/>
          <w:szCs w:val="20"/>
        </w:rPr>
      </w:pPr>
    </w:p>
    <w:p w14:paraId="26126A0B" w14:textId="2B7ADE9F" w:rsidR="0056338A" w:rsidRDefault="0056338A" w:rsidP="00FC1D40">
      <w:pPr>
        <w:rPr>
          <w:rFonts w:asciiTheme="minorHAnsi" w:hAnsiTheme="minorHAnsi"/>
          <w:b/>
          <w:color w:val="FF0000"/>
          <w:sz w:val="20"/>
          <w:szCs w:val="20"/>
        </w:rPr>
      </w:pPr>
    </w:p>
    <w:p w14:paraId="23BB3D33" w14:textId="6FD7ADF4" w:rsidR="0056338A" w:rsidRDefault="0056338A" w:rsidP="00FC1D40">
      <w:pPr>
        <w:rPr>
          <w:rFonts w:asciiTheme="minorHAnsi" w:hAnsiTheme="minorHAnsi"/>
          <w:b/>
          <w:color w:val="FF0000"/>
          <w:sz w:val="20"/>
          <w:szCs w:val="20"/>
        </w:rPr>
      </w:pPr>
    </w:p>
    <w:p w14:paraId="78334798" w14:textId="77777777" w:rsidR="00861970" w:rsidRDefault="00861970" w:rsidP="00FC1D40">
      <w:pPr>
        <w:rPr>
          <w:rFonts w:asciiTheme="minorHAnsi" w:hAnsiTheme="minorHAnsi"/>
          <w:b/>
          <w:color w:val="FF0000"/>
          <w:sz w:val="20"/>
          <w:szCs w:val="20"/>
        </w:rPr>
        <w:sectPr w:rsidR="00861970" w:rsidSect="00B643F9">
          <w:headerReference w:type="default" r:id="rId13"/>
          <w:pgSz w:w="15840" w:h="12240" w:orient="landscape"/>
          <w:pgMar w:top="720" w:right="720" w:bottom="720" w:left="720" w:header="450" w:footer="720" w:gutter="0"/>
          <w:cols w:space="720"/>
          <w:docGrid w:linePitch="360"/>
        </w:sectPr>
      </w:pPr>
    </w:p>
    <w:p w14:paraId="044291BD" w14:textId="227B1167" w:rsidR="00E05201" w:rsidRDefault="00E05201" w:rsidP="00B15C7C">
      <w:pPr>
        <w:pStyle w:val="Heading1"/>
        <w:spacing w:before="59" w:line="276" w:lineRule="auto"/>
        <w:jc w:val="center"/>
        <w:rPr>
          <w:rFonts w:asciiTheme="minorHAnsi" w:hAnsiTheme="minorHAnsi"/>
          <w:sz w:val="24"/>
          <w:szCs w:val="24"/>
        </w:rPr>
      </w:pPr>
      <w:r>
        <w:rPr>
          <w:rFonts w:asciiTheme="minorHAnsi" w:hAnsiTheme="minorHAnsi"/>
          <w:sz w:val="24"/>
          <w:szCs w:val="24"/>
        </w:rPr>
        <w:lastRenderedPageBreak/>
        <w:t>Proposed Language Added to Revised January 2019 Regulations</w:t>
      </w:r>
    </w:p>
    <w:p w14:paraId="5FB21400" w14:textId="7520BEBF" w:rsidR="00B15C7C" w:rsidRPr="00140E24" w:rsidRDefault="00B15C7C" w:rsidP="00B15C7C">
      <w:pPr>
        <w:pStyle w:val="Heading1"/>
        <w:spacing w:before="59" w:line="276" w:lineRule="auto"/>
        <w:jc w:val="center"/>
        <w:rPr>
          <w:rFonts w:asciiTheme="minorHAnsi" w:hAnsiTheme="minorHAnsi"/>
          <w:b w:val="0"/>
          <w:bCs w:val="0"/>
          <w:sz w:val="24"/>
          <w:szCs w:val="24"/>
        </w:rPr>
      </w:pPr>
      <w:r w:rsidRPr="00140E24">
        <w:rPr>
          <w:rFonts w:asciiTheme="minorHAnsi" w:hAnsiTheme="minorHAnsi"/>
          <w:sz w:val="24"/>
          <w:szCs w:val="24"/>
        </w:rPr>
        <w:t>Regulations</w:t>
      </w:r>
      <w:r w:rsidRPr="00140E24">
        <w:rPr>
          <w:rFonts w:asciiTheme="minorHAnsi" w:hAnsiTheme="minorHAnsi"/>
          <w:spacing w:val="-14"/>
          <w:sz w:val="24"/>
          <w:szCs w:val="24"/>
        </w:rPr>
        <w:t xml:space="preserve"> </w:t>
      </w:r>
      <w:r w:rsidRPr="00140E24">
        <w:rPr>
          <w:rFonts w:asciiTheme="minorHAnsi" w:hAnsiTheme="minorHAnsi"/>
          <w:sz w:val="24"/>
          <w:szCs w:val="24"/>
        </w:rPr>
        <w:t>for</w:t>
      </w:r>
      <w:r w:rsidRPr="00140E24">
        <w:rPr>
          <w:rFonts w:asciiTheme="minorHAnsi" w:hAnsiTheme="minorHAnsi"/>
          <w:spacing w:val="-13"/>
          <w:sz w:val="24"/>
          <w:szCs w:val="24"/>
        </w:rPr>
        <w:t xml:space="preserve"> </w:t>
      </w:r>
      <w:r w:rsidRPr="00140E24">
        <w:rPr>
          <w:rFonts w:asciiTheme="minorHAnsi" w:hAnsiTheme="minorHAnsi"/>
          <w:sz w:val="24"/>
          <w:szCs w:val="24"/>
        </w:rPr>
        <w:t>Graduate</w:t>
      </w:r>
      <w:r w:rsidRPr="00140E24">
        <w:rPr>
          <w:rFonts w:asciiTheme="minorHAnsi" w:hAnsiTheme="minorHAnsi"/>
          <w:spacing w:val="-14"/>
          <w:sz w:val="24"/>
          <w:szCs w:val="24"/>
        </w:rPr>
        <w:t xml:space="preserve"> </w:t>
      </w:r>
      <w:r w:rsidRPr="00140E24">
        <w:rPr>
          <w:rFonts w:asciiTheme="minorHAnsi" w:hAnsiTheme="minorHAnsi"/>
          <w:sz w:val="24"/>
          <w:szCs w:val="24"/>
        </w:rPr>
        <w:t>Faculty</w:t>
      </w:r>
      <w:r w:rsidRPr="00140E24">
        <w:rPr>
          <w:rFonts w:asciiTheme="minorHAnsi" w:hAnsiTheme="minorHAnsi"/>
          <w:spacing w:val="-12"/>
          <w:sz w:val="24"/>
          <w:szCs w:val="24"/>
        </w:rPr>
        <w:t xml:space="preserve"> </w:t>
      </w:r>
      <w:r w:rsidRPr="00140E24">
        <w:rPr>
          <w:rFonts w:asciiTheme="minorHAnsi" w:hAnsiTheme="minorHAnsi"/>
          <w:sz w:val="24"/>
          <w:szCs w:val="24"/>
        </w:rPr>
        <w:t>Membership</w:t>
      </w:r>
    </w:p>
    <w:p w14:paraId="4DB630B8" w14:textId="77777777" w:rsidR="00B15C7C" w:rsidRPr="00140E24" w:rsidRDefault="00B15C7C" w:rsidP="00B15C7C">
      <w:pPr>
        <w:spacing w:line="276" w:lineRule="auto"/>
        <w:jc w:val="center"/>
        <w:rPr>
          <w:rFonts w:eastAsia="Verdana" w:cs="Verdana"/>
        </w:rPr>
      </w:pPr>
      <w:r w:rsidRPr="00140E24">
        <w:rPr>
          <w:rFonts w:eastAsia="Verdana" w:cs="Verdana"/>
          <w:b/>
          <w:bCs/>
        </w:rPr>
        <w:t>The</w:t>
      </w:r>
      <w:r w:rsidRPr="00140E24">
        <w:rPr>
          <w:rFonts w:eastAsia="Verdana" w:cs="Verdana"/>
          <w:b/>
          <w:bCs/>
          <w:spacing w:val="-8"/>
        </w:rPr>
        <w:t xml:space="preserve"> </w:t>
      </w:r>
      <w:r w:rsidRPr="00140E24">
        <w:rPr>
          <w:rFonts w:eastAsia="Verdana" w:cs="Verdana"/>
          <w:b/>
          <w:bCs/>
        </w:rPr>
        <w:t>University</w:t>
      </w:r>
      <w:r w:rsidRPr="00140E24">
        <w:rPr>
          <w:rFonts w:eastAsia="Verdana" w:cs="Verdana"/>
          <w:b/>
          <w:bCs/>
          <w:spacing w:val="-7"/>
        </w:rPr>
        <w:t xml:space="preserve"> </w:t>
      </w:r>
      <w:r w:rsidRPr="00140E24">
        <w:rPr>
          <w:rFonts w:eastAsia="Verdana" w:cs="Verdana"/>
          <w:b/>
          <w:bCs/>
        </w:rPr>
        <w:t>of</w:t>
      </w:r>
      <w:r w:rsidRPr="00140E24">
        <w:rPr>
          <w:rFonts w:eastAsia="Verdana" w:cs="Verdana"/>
          <w:b/>
          <w:bCs/>
          <w:spacing w:val="-7"/>
        </w:rPr>
        <w:t xml:space="preserve"> </w:t>
      </w:r>
      <w:r w:rsidRPr="00140E24">
        <w:rPr>
          <w:rFonts w:eastAsia="Verdana" w:cs="Verdana"/>
          <w:b/>
          <w:bCs/>
        </w:rPr>
        <w:t>Texas</w:t>
      </w:r>
      <w:r w:rsidRPr="00140E24">
        <w:rPr>
          <w:rFonts w:eastAsia="Verdana" w:cs="Verdana"/>
          <w:b/>
          <w:bCs/>
          <w:spacing w:val="-7"/>
        </w:rPr>
        <w:t xml:space="preserve"> </w:t>
      </w:r>
      <w:r w:rsidRPr="00140E24">
        <w:rPr>
          <w:rFonts w:eastAsia="Verdana" w:cs="Verdana"/>
          <w:b/>
          <w:bCs/>
        </w:rPr>
        <w:t>at</w:t>
      </w:r>
      <w:r w:rsidRPr="00140E24">
        <w:rPr>
          <w:rFonts w:eastAsia="Verdana" w:cs="Verdana"/>
          <w:b/>
          <w:bCs/>
          <w:spacing w:val="-7"/>
        </w:rPr>
        <w:t xml:space="preserve"> </w:t>
      </w:r>
      <w:r w:rsidRPr="00140E24">
        <w:rPr>
          <w:rFonts w:eastAsia="Verdana" w:cs="Verdana"/>
          <w:b/>
          <w:bCs/>
        </w:rPr>
        <w:t>Tyler</w:t>
      </w:r>
    </w:p>
    <w:p w14:paraId="6177F22F" w14:textId="252E3B9E" w:rsidR="00B15C7C" w:rsidRDefault="00B15C7C" w:rsidP="00B15C7C">
      <w:pPr>
        <w:spacing w:line="276" w:lineRule="auto"/>
        <w:jc w:val="center"/>
        <w:rPr>
          <w:rFonts w:eastAsia="Verdana" w:cs="Verdana"/>
          <w:b/>
          <w:bCs/>
        </w:rPr>
      </w:pPr>
      <w:r w:rsidRPr="00140E24">
        <w:rPr>
          <w:rFonts w:eastAsia="Verdana" w:cs="Verdana"/>
          <w:b/>
          <w:bCs/>
        </w:rPr>
        <w:t>(</w:t>
      </w:r>
      <w:r>
        <w:rPr>
          <w:rFonts w:eastAsia="Verdana" w:cs="Verdana"/>
          <w:b/>
          <w:bCs/>
        </w:rPr>
        <w:t>Revised</w:t>
      </w:r>
      <w:r w:rsidRPr="00140E24">
        <w:rPr>
          <w:rFonts w:eastAsia="Verdana" w:cs="Verdana"/>
          <w:b/>
          <w:bCs/>
        </w:rPr>
        <w:t xml:space="preserve"> </w:t>
      </w:r>
      <w:r>
        <w:rPr>
          <w:rFonts w:eastAsia="Verdana" w:cs="Verdana"/>
          <w:b/>
          <w:bCs/>
        </w:rPr>
        <w:t>June</w:t>
      </w:r>
      <w:r w:rsidRPr="00140E24">
        <w:rPr>
          <w:rFonts w:eastAsia="Verdana" w:cs="Verdana"/>
          <w:b/>
          <w:bCs/>
        </w:rPr>
        <w:t xml:space="preserve"> 2014)</w:t>
      </w:r>
    </w:p>
    <w:p w14:paraId="79B1F423" w14:textId="77777777" w:rsidR="000917DB" w:rsidRPr="00140E24" w:rsidRDefault="000917DB" w:rsidP="00B15C7C">
      <w:pPr>
        <w:spacing w:line="276" w:lineRule="auto"/>
        <w:jc w:val="center"/>
        <w:rPr>
          <w:rFonts w:eastAsia="Verdana" w:cs="Verdana"/>
        </w:rPr>
      </w:pPr>
    </w:p>
    <w:p w14:paraId="30AB5579" w14:textId="2FBA7FD2" w:rsidR="00B15C7C" w:rsidRPr="000917DB" w:rsidRDefault="000917DB" w:rsidP="00E05201">
      <w:pPr>
        <w:pStyle w:val="BodyText"/>
        <w:spacing w:line="276" w:lineRule="auto"/>
        <w:ind w:left="0" w:right="184"/>
        <w:rPr>
          <w:rFonts w:ascii="Times New Roman" w:hAnsi="Times New Roman" w:cs="Times New Roman"/>
          <w:sz w:val="36"/>
          <w:szCs w:val="24"/>
        </w:rPr>
      </w:pPr>
      <w:r w:rsidRPr="000917DB">
        <w:rPr>
          <w:rFonts w:ascii="Times New Roman" w:hAnsi="Times New Roman" w:cs="Times New Roman"/>
          <w:color w:val="000000"/>
          <w:sz w:val="24"/>
        </w:rPr>
        <w:t>Exceptions to the Criteria for Eligibility may also be granted in specific instances by the Dean of the Graduate School. Persuasive documentation of the qualifications of an individual for whom an exception is requested must accompany a request for an exception, and the request must be supported by faculty in the program, the chairperson of the department, and the dean of the college where the exception is being requested</w:t>
      </w:r>
    </w:p>
    <w:p w14:paraId="2B0431AB" w14:textId="77777777" w:rsidR="00B15C7C" w:rsidRPr="00A816E1" w:rsidRDefault="00B15C7C" w:rsidP="00B15C7C">
      <w:pPr>
        <w:pStyle w:val="BodyText"/>
        <w:spacing w:line="276" w:lineRule="auto"/>
        <w:ind w:left="0"/>
        <w:rPr>
          <w:rFonts w:asciiTheme="minorHAnsi" w:hAnsiTheme="minorHAnsi"/>
          <w:spacing w:val="-1"/>
          <w:sz w:val="24"/>
          <w:szCs w:val="24"/>
        </w:rPr>
      </w:pPr>
    </w:p>
    <w:p w14:paraId="1930A72B" w14:textId="77777777" w:rsidR="00E05201" w:rsidRPr="00C331DF" w:rsidRDefault="00E05201" w:rsidP="00E05201">
      <w:pPr>
        <w:jc w:val="center"/>
        <w:rPr>
          <w:b/>
        </w:rPr>
      </w:pPr>
      <w:r w:rsidRPr="00C331DF">
        <w:rPr>
          <w:b/>
        </w:rPr>
        <w:t>Regulations for Graduate Faculty Membership</w:t>
      </w:r>
    </w:p>
    <w:p w14:paraId="7A89E838" w14:textId="77777777" w:rsidR="00E05201" w:rsidRPr="00C331DF" w:rsidRDefault="00E05201" w:rsidP="00E05201">
      <w:pPr>
        <w:jc w:val="center"/>
        <w:rPr>
          <w:b/>
        </w:rPr>
      </w:pPr>
      <w:r w:rsidRPr="00C331DF">
        <w:rPr>
          <w:b/>
        </w:rPr>
        <w:t>The University of Texas at Tyler</w:t>
      </w:r>
    </w:p>
    <w:p w14:paraId="179EB71D" w14:textId="77777777" w:rsidR="00E05201" w:rsidRPr="00C331DF" w:rsidRDefault="00E05201" w:rsidP="00E05201">
      <w:pPr>
        <w:jc w:val="center"/>
        <w:rPr>
          <w:b/>
        </w:rPr>
      </w:pPr>
      <w:r w:rsidRPr="00C331DF">
        <w:rPr>
          <w:b/>
        </w:rPr>
        <w:t>(Revised January 2019)</w:t>
      </w:r>
    </w:p>
    <w:p w14:paraId="3EE3964C" w14:textId="77777777" w:rsidR="00E05201" w:rsidRDefault="00E05201" w:rsidP="00E05201"/>
    <w:p w14:paraId="3C09B561" w14:textId="77777777" w:rsidR="00E05201" w:rsidRDefault="00E05201" w:rsidP="00E05201">
      <w:pPr>
        <w:spacing w:after="120"/>
      </w:pPr>
      <w:r>
        <w:t>The purpose of graduate faculty credentialing is to ensure that graduate programs are supported by faculty who have the expertise to teach graduate courses and to mentor students as researchers. Those faculty who teach graduate-level courses, advise graduate students, or otherwise participate in graduate education at UT Tyler must be members of the Graduate Faculty. All members of Graduate Faculty are eligible to serve on the Graduate Council. All full-time or professional doctoral faculty who hold terminal degrees will be appointed to serve as Graduate Teaching Faculty, and may teach masters and professional doctoral courses and serve on comprehensive examination committees. Membership on the graduate faculty carries with it the responsibility for active participation in a graduate program and for maintaining a high level of professional competence in the member’s discipline.</w:t>
      </w:r>
    </w:p>
    <w:p w14:paraId="5B8026EC" w14:textId="77777777" w:rsidR="00E05201" w:rsidRPr="00AB6FF0" w:rsidRDefault="00E05201" w:rsidP="00E05201">
      <w:pPr>
        <w:spacing w:after="120"/>
        <w:rPr>
          <w:b/>
        </w:rPr>
      </w:pPr>
      <w:r w:rsidRPr="00AB6FF0">
        <w:rPr>
          <w:b/>
        </w:rPr>
        <w:t>Graduate Research Faculty</w:t>
      </w:r>
    </w:p>
    <w:p w14:paraId="5E622006" w14:textId="77777777" w:rsidR="00E05201" w:rsidRDefault="00E05201" w:rsidP="00E05201">
      <w:pPr>
        <w:spacing w:after="120"/>
      </w:pPr>
      <w:r>
        <w:t>In addition to the privi</w:t>
      </w:r>
      <w:r w:rsidRPr="00A26D1C">
        <w:t>leges available to</w:t>
      </w:r>
      <w:r>
        <w:t xml:space="preserve"> all Graduate Faculty, </w:t>
      </w:r>
      <w:r w:rsidRPr="00A26D1C">
        <w:t>Graduate</w:t>
      </w:r>
      <w:r>
        <w:t xml:space="preserve"> Research</w:t>
      </w:r>
      <w:r w:rsidRPr="00A26D1C">
        <w:t xml:space="preserve"> Faculty are eligible to teach</w:t>
      </w:r>
      <w:r>
        <w:rPr>
          <w:b/>
        </w:rPr>
        <w:t xml:space="preserve"> </w:t>
      </w:r>
      <w:r>
        <w:t xml:space="preserve">Ph.D. level courses and serve on master’s thesis and doctoral dissertation committees and on proficiency examination committees in the member’s area of expertise. The academic department will determine from their Graduate Research Faculty who is qualified to serve in the role of chair of a thesis or dissertation committee. </w:t>
      </w:r>
      <w:r>
        <w:tab/>
      </w:r>
    </w:p>
    <w:p w14:paraId="75735C6B" w14:textId="77777777" w:rsidR="00E05201" w:rsidRDefault="00E05201" w:rsidP="00E05201">
      <w:pPr>
        <w:spacing w:after="120"/>
      </w:pPr>
      <w:r>
        <w:t>All tenured/tenure-track or professional practice doctoral (e.g., PharmD) faculty who hold an appointment at the rank of assistant professor or above are eligible to apply to be Graduate Research Faculty.  Appointments will vary in length up to a maximum of 5 years.</w:t>
      </w:r>
    </w:p>
    <w:p w14:paraId="65AD77B2" w14:textId="77777777" w:rsidR="00E05201" w:rsidRDefault="00E05201" w:rsidP="00E05201">
      <w:pPr>
        <w:spacing w:after="120"/>
      </w:pPr>
      <w:r>
        <w:t>Criteria for eligibility:</w:t>
      </w:r>
    </w:p>
    <w:p w14:paraId="74E46329" w14:textId="77777777" w:rsidR="0055290B" w:rsidRDefault="00E05201" w:rsidP="0055290B">
      <w:pPr>
        <w:pStyle w:val="ListParagraph"/>
        <w:numPr>
          <w:ilvl w:val="0"/>
          <w:numId w:val="12"/>
        </w:numPr>
        <w:spacing w:after="120"/>
      </w:pPr>
      <w:r>
        <w:t>Have a tenured/tenure-track or professional practice (e.g., PharmD) faculty position at UT Tyler,</w:t>
      </w:r>
    </w:p>
    <w:p w14:paraId="0E528B0A" w14:textId="77777777" w:rsidR="0055290B" w:rsidRDefault="00E05201" w:rsidP="0055290B">
      <w:pPr>
        <w:pStyle w:val="ListParagraph"/>
        <w:numPr>
          <w:ilvl w:val="0"/>
          <w:numId w:val="12"/>
        </w:numPr>
        <w:spacing w:after="120"/>
      </w:pPr>
      <w:r>
        <w:t>Have a terminal degree in the person’s principal area of faculty appointment,</w:t>
      </w:r>
    </w:p>
    <w:p w14:paraId="4689116E" w14:textId="77777777" w:rsidR="0055290B" w:rsidRDefault="00E05201" w:rsidP="0055290B">
      <w:pPr>
        <w:pStyle w:val="ListParagraph"/>
        <w:numPr>
          <w:ilvl w:val="0"/>
          <w:numId w:val="12"/>
        </w:numPr>
        <w:spacing w:after="120"/>
      </w:pPr>
      <w:r>
        <w:lastRenderedPageBreak/>
        <w:t>Demonstrate a consistent and continuous level of research/scholarship/creative activities in their discipline, and</w:t>
      </w:r>
    </w:p>
    <w:p w14:paraId="4F819A87" w14:textId="3CD806C9" w:rsidR="00E05201" w:rsidRDefault="00E05201" w:rsidP="0055290B">
      <w:pPr>
        <w:pStyle w:val="ListParagraph"/>
        <w:numPr>
          <w:ilvl w:val="0"/>
          <w:numId w:val="12"/>
        </w:numPr>
        <w:spacing w:after="120"/>
      </w:pPr>
      <w:r>
        <w:t>Agree to serve as student advocate on dissertation committees.</w:t>
      </w:r>
    </w:p>
    <w:p w14:paraId="3A12200F" w14:textId="77777777" w:rsidR="00E05201" w:rsidRPr="004328AC" w:rsidRDefault="00E05201" w:rsidP="00E05201">
      <w:pPr>
        <w:spacing w:after="120"/>
        <w:jc w:val="both"/>
        <w:rPr>
          <w:b/>
        </w:rPr>
      </w:pPr>
      <w:r>
        <w:t xml:space="preserve">Graduate Faculty may apply for appointment to the Graduate Research Faculty at any time using the prescribed application process.  </w:t>
      </w:r>
    </w:p>
    <w:p w14:paraId="6464B251" w14:textId="77777777" w:rsidR="00E05201" w:rsidRPr="00AB6FF0" w:rsidRDefault="00E05201" w:rsidP="00E05201">
      <w:pPr>
        <w:spacing w:after="120"/>
        <w:rPr>
          <w:b/>
        </w:rPr>
      </w:pPr>
      <w:r w:rsidRPr="00AB6FF0">
        <w:rPr>
          <w:b/>
        </w:rPr>
        <w:t>Visiting Graduate Faculty</w:t>
      </w:r>
    </w:p>
    <w:p w14:paraId="0619C996" w14:textId="77777777" w:rsidR="00E05201" w:rsidRDefault="00E05201" w:rsidP="00E05201">
      <w:pPr>
        <w:spacing w:after="120"/>
      </w:pPr>
      <w:r>
        <w:t xml:space="preserve">A Visiting Graduate Faculty Member would typically be a faculty member at another university or health institution, an individual active in industry or business, or a retired faculty member. Visiting Graduate Faculty may serve on thesis or dissertation committees. </w:t>
      </w:r>
    </w:p>
    <w:p w14:paraId="26573225" w14:textId="77777777" w:rsidR="00E05201" w:rsidRDefault="00E05201" w:rsidP="00E05201">
      <w:pPr>
        <w:spacing w:after="120"/>
      </w:pPr>
      <w:r w:rsidRPr="00AB6FF0">
        <w:t>Visiting Graduate Faculty</w:t>
      </w:r>
      <w:r>
        <w:t xml:space="preserve"> shall possess a terminal degree or achievement of professional accomplishment of an unusually high order and consistent level of research/scholarship/creative activity pertaining to the topic of the thesis/dissertation</w:t>
      </w:r>
    </w:p>
    <w:p w14:paraId="7A2B872F" w14:textId="77777777" w:rsidR="00E05201" w:rsidRDefault="00E05201" w:rsidP="00E05201">
      <w:pPr>
        <w:spacing w:after="120"/>
      </w:pPr>
      <w:r>
        <w:t>Applicants for Visiting Graduate Faculty status will be reviewed each time they are nominated to serve on a thesis or dissertation committee if their service will extend beyond the period for which they were approved in a prior application.</w:t>
      </w:r>
    </w:p>
    <w:p w14:paraId="72EE1CCB" w14:textId="77777777" w:rsidR="00E05201" w:rsidRDefault="00E05201" w:rsidP="00E05201">
      <w:pPr>
        <w:spacing w:after="120"/>
      </w:pPr>
    </w:p>
    <w:p w14:paraId="33D3885D" w14:textId="77777777" w:rsidR="00E05201" w:rsidRPr="006D3F63" w:rsidRDefault="00E05201" w:rsidP="00E05201">
      <w:pPr>
        <w:spacing w:after="120"/>
        <w:rPr>
          <w:b/>
        </w:rPr>
      </w:pPr>
      <w:r w:rsidRPr="006D3F63">
        <w:rPr>
          <w:b/>
        </w:rPr>
        <w:t>APPLICATION FOR MEMBERSHIP</w:t>
      </w:r>
    </w:p>
    <w:p w14:paraId="552331EC" w14:textId="77777777" w:rsidR="00E05201" w:rsidRDefault="00E05201" w:rsidP="00E05201">
      <w:pPr>
        <w:spacing w:after="120"/>
      </w:pPr>
      <w:r>
        <w:t>The following process will be used to apply for Graduate Research Faculty or Visiting Graduate Faculty membership.</w:t>
      </w:r>
    </w:p>
    <w:p w14:paraId="423F1848" w14:textId="66BEF0C6" w:rsidR="00E05201" w:rsidRDefault="00E05201" w:rsidP="0055290B">
      <w:pPr>
        <w:pStyle w:val="ListParagraph"/>
        <w:numPr>
          <w:ilvl w:val="0"/>
          <w:numId w:val="13"/>
        </w:numPr>
        <w:spacing w:after="120"/>
      </w:pPr>
      <w:r>
        <w:t xml:space="preserve">The applicant will submit an application form and a full current vita to the unit head. </w:t>
      </w:r>
    </w:p>
    <w:p w14:paraId="09934B11" w14:textId="77777777" w:rsidR="00E05201" w:rsidRDefault="00E05201" w:rsidP="0055290B">
      <w:pPr>
        <w:pStyle w:val="ListParagraph"/>
        <w:numPr>
          <w:ilvl w:val="0"/>
          <w:numId w:val="13"/>
        </w:numPr>
        <w:spacing w:after="120"/>
      </w:pPr>
      <w:r>
        <w:t>Applications for Graduate Research Faculty status or Visiting Graduate Faculty appointments should be voted on by at least three faculty in the department in which graduate faculty membership is being sought who hold Graduate Research Faculty appointments. The vote of the reviewing faculty will be recorded on the candidate’s application. In situations where there are not three qualified faculty in a department to vote on an application, the initial approval will be that of the chairperson of the department.</w:t>
      </w:r>
    </w:p>
    <w:p w14:paraId="72B37489" w14:textId="77777777" w:rsidR="00E05201" w:rsidRDefault="00E05201" w:rsidP="0055290B">
      <w:pPr>
        <w:pStyle w:val="ListParagraph"/>
        <w:numPr>
          <w:ilvl w:val="0"/>
          <w:numId w:val="13"/>
        </w:numPr>
        <w:spacing w:after="120"/>
      </w:pPr>
      <w:r>
        <w:t>Applications will be approved or disapproved by the chairperson of the department, the dean of the college in which the graduate program is located, and the Dean of the Graduate School. The applicant will be notified of the approval/disapproval decisions at each level of the review.</w:t>
      </w:r>
    </w:p>
    <w:p w14:paraId="698A8FCC" w14:textId="77777777" w:rsidR="00E05201" w:rsidRDefault="00E05201" w:rsidP="0055290B">
      <w:pPr>
        <w:pStyle w:val="ListParagraph"/>
        <w:numPr>
          <w:ilvl w:val="0"/>
          <w:numId w:val="13"/>
        </w:numPr>
        <w:spacing w:after="120"/>
      </w:pPr>
      <w:r>
        <w:t xml:space="preserve">Should the faculty member wish to appeal the decision of a chairperson, dean of a college, or the Dean of the Graduate School, he/she may do so by submitting a written appeal to the appropriate administrator at the next level of review within 10 days of receiving notice of the decision. Decisions made by the Dean of the Graduate School may be appealed to the Provost and Vice President for Academic Affairs. </w:t>
      </w:r>
    </w:p>
    <w:p w14:paraId="403960C7" w14:textId="5DDA95D2" w:rsidR="00AD535A" w:rsidRDefault="00E05201" w:rsidP="00E05201">
      <w:pPr>
        <w:spacing w:after="120"/>
      </w:pPr>
      <w:r>
        <w:t>All Graduate Research Faculty members must have their graduate credentials renewed periodically through the process described above.</w:t>
      </w:r>
    </w:p>
    <w:p w14:paraId="5449C205" w14:textId="68E64CAF" w:rsidR="00C773E0" w:rsidRDefault="00AD535A" w:rsidP="00C773E0">
      <w:pPr>
        <w:jc w:val="center"/>
        <w:rPr>
          <w:b/>
          <w:u w:val="single"/>
        </w:rPr>
      </w:pPr>
      <w:r>
        <w:br w:type="page"/>
      </w:r>
      <w:r w:rsidR="00C773E0" w:rsidRPr="002460D5">
        <w:rPr>
          <w:b/>
          <w:u w:val="single"/>
        </w:rPr>
        <w:lastRenderedPageBreak/>
        <w:t>Graduate Research Assistant Task Force Proposal</w:t>
      </w:r>
      <w:r w:rsidR="00C773E0">
        <w:rPr>
          <w:b/>
          <w:u w:val="single"/>
        </w:rPr>
        <w:t xml:space="preserve"> – Updated TC 4-1</w:t>
      </w:r>
    </w:p>
    <w:p w14:paraId="2CA50FB0" w14:textId="77777777" w:rsidR="00C773E0" w:rsidRDefault="00C773E0" w:rsidP="00C773E0">
      <w:pPr>
        <w:jc w:val="center"/>
        <w:rPr>
          <w:b/>
          <w:u w:val="single"/>
        </w:rPr>
      </w:pPr>
    </w:p>
    <w:p w14:paraId="53578C8E" w14:textId="77777777" w:rsidR="00C773E0" w:rsidRDefault="00C773E0" w:rsidP="00C773E0">
      <w:r>
        <w:t xml:space="preserve">To: UT Tyler Graduate Council; Provost </w:t>
      </w:r>
      <w:proofErr w:type="spellStart"/>
      <w:r>
        <w:t>Mirmiran</w:t>
      </w:r>
      <w:proofErr w:type="spellEnd"/>
      <w:r>
        <w:t>; Associate Provost Geiger</w:t>
      </w:r>
    </w:p>
    <w:p w14:paraId="60B81793" w14:textId="77777777" w:rsidR="00C773E0" w:rsidRDefault="00C773E0" w:rsidP="00C773E0">
      <w:r>
        <w:t>Re: Graduate Research Assistant funds</w:t>
      </w:r>
    </w:p>
    <w:p w14:paraId="116D4323" w14:textId="77777777" w:rsidR="00C773E0" w:rsidRDefault="00C773E0" w:rsidP="00C773E0">
      <w:r>
        <w:t>The task force has met on several occasions over the past year. While this issue is complex, we present the following findings and recommendations:</w:t>
      </w:r>
    </w:p>
    <w:p w14:paraId="27B55C4D" w14:textId="77777777" w:rsidR="00C773E0" w:rsidRPr="00055463" w:rsidRDefault="00C773E0" w:rsidP="00C773E0">
      <w:pPr>
        <w:rPr>
          <w:u w:val="single"/>
        </w:rPr>
      </w:pPr>
      <w:r w:rsidRPr="00055463">
        <w:rPr>
          <w:u w:val="single"/>
        </w:rPr>
        <w:t>Findings:</w:t>
      </w:r>
    </w:p>
    <w:p w14:paraId="73A2AD7E" w14:textId="77777777" w:rsidR="00C773E0" w:rsidRDefault="00C773E0" w:rsidP="00C773E0">
      <w:pPr>
        <w:pStyle w:val="ListParagraph"/>
        <w:numPr>
          <w:ilvl w:val="0"/>
          <w:numId w:val="14"/>
        </w:numPr>
        <w:spacing w:after="160" w:line="259" w:lineRule="auto"/>
      </w:pPr>
      <w:r>
        <w:t>The strategic plan addresses several areas relevant to graduate student funding:</w:t>
      </w:r>
    </w:p>
    <w:p w14:paraId="42E6AB77" w14:textId="77777777" w:rsidR="00C773E0" w:rsidRPr="000E3978" w:rsidRDefault="00C773E0" w:rsidP="00C773E0">
      <w:pPr>
        <w:pStyle w:val="ListParagraph"/>
        <w:numPr>
          <w:ilvl w:val="1"/>
          <w:numId w:val="14"/>
        </w:numPr>
        <w:spacing w:after="160" w:line="259" w:lineRule="auto"/>
      </w:pPr>
      <w:r>
        <w:t>Impact Area: Funding Success -We will expand grant- and scholarship based financial aid.</w:t>
      </w:r>
    </w:p>
    <w:p w14:paraId="264CD544" w14:textId="77777777" w:rsidR="00C773E0" w:rsidRPr="000E3978" w:rsidRDefault="00C773E0" w:rsidP="00C773E0">
      <w:pPr>
        <w:pStyle w:val="ListParagraph"/>
        <w:numPr>
          <w:ilvl w:val="1"/>
          <w:numId w:val="14"/>
        </w:numPr>
        <w:spacing w:after="160" w:line="259" w:lineRule="auto"/>
      </w:pPr>
      <w:r>
        <w:t>Impact Area: Encouraging Student Involvement in Research &amp; Discovery -We will promote the UT Tyler student experience by incentivizing engagement in faculty-led research.</w:t>
      </w:r>
    </w:p>
    <w:p w14:paraId="6C9E4DCB" w14:textId="77777777" w:rsidR="00C773E0" w:rsidRPr="000E3978" w:rsidRDefault="00C773E0" w:rsidP="00C773E0">
      <w:pPr>
        <w:pStyle w:val="ListParagraph"/>
        <w:numPr>
          <w:ilvl w:val="1"/>
          <w:numId w:val="14"/>
        </w:numPr>
        <w:spacing w:after="160" w:line="259" w:lineRule="auto"/>
      </w:pPr>
      <w:r>
        <w:t>Impact Area: Expanding Student Research Activities -We will increase the use of student research as a tool for engaged learning, critical thinking and the creation of knowledge.</w:t>
      </w:r>
    </w:p>
    <w:p w14:paraId="101B5883" w14:textId="77777777" w:rsidR="00C773E0" w:rsidRPr="000E3978" w:rsidRDefault="00C773E0" w:rsidP="00C773E0">
      <w:pPr>
        <w:pStyle w:val="ListParagraph"/>
        <w:numPr>
          <w:ilvl w:val="1"/>
          <w:numId w:val="14"/>
        </w:numPr>
        <w:spacing w:after="160" w:line="259" w:lineRule="auto"/>
      </w:pPr>
      <w:r>
        <w:t xml:space="preserve">Initiative 2: Create Graduate Assistantships Across All Programs. 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p w14:paraId="041F657F" w14:textId="77777777" w:rsidR="00C773E0" w:rsidRDefault="00C773E0" w:rsidP="00C773E0">
      <w:pPr>
        <w:pStyle w:val="ListParagraph"/>
        <w:numPr>
          <w:ilvl w:val="0"/>
          <w:numId w:val="14"/>
        </w:numPr>
        <w:spacing w:after="160" w:line="259" w:lineRule="auto"/>
      </w:pPr>
      <w:r w:rsidRPr="00055463">
        <w:t xml:space="preserve">Based on data, Graduate Students </w:t>
      </w:r>
      <w:r>
        <w:t>comprise 30% of the student body, generate a lot of revenue based on formula funding, yet</w:t>
      </w:r>
      <w:r w:rsidRPr="00055463">
        <w:t xml:space="preserve"> </w:t>
      </w:r>
      <w:r>
        <w:t>very few</w:t>
      </w:r>
      <w:r w:rsidRPr="00055463">
        <w:t xml:space="preserve"> </w:t>
      </w:r>
      <w:r>
        <w:t>are awarded</w:t>
      </w:r>
      <w:r w:rsidRPr="00055463">
        <w:t xml:space="preserve"> scholarships.</w:t>
      </w:r>
      <w:r>
        <w:t xml:space="preserve"> Based on the 5 year average below, only 18% of our graduate students receive scholarships.</w:t>
      </w:r>
    </w:p>
    <w:p w14:paraId="43856CB0" w14:textId="77777777" w:rsidR="00C773E0" w:rsidRPr="008856F9" w:rsidRDefault="00C773E0" w:rsidP="00C773E0">
      <w:pPr>
        <w:ind w:left="360"/>
      </w:pPr>
      <w:r>
        <w:rPr>
          <w:noProof/>
        </w:rPr>
        <w:drawing>
          <wp:inline distT="0" distB="0" distL="0" distR="0" wp14:anchorId="1B0020D0" wp14:editId="6EF796DD">
            <wp:extent cx="5943600" cy="1051954"/>
            <wp:effectExtent l="0" t="0" r="0" b="0"/>
            <wp:docPr id="4" name="Picture 4" descr="cid:image003.png@01D4D056.77E8B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D056.77E8B0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1051954"/>
                    </a:xfrm>
                    <a:prstGeom prst="rect">
                      <a:avLst/>
                    </a:prstGeom>
                    <a:noFill/>
                    <a:ln>
                      <a:noFill/>
                    </a:ln>
                  </pic:spPr>
                </pic:pic>
              </a:graphicData>
            </a:graphic>
          </wp:inline>
        </w:drawing>
      </w:r>
    </w:p>
    <w:p w14:paraId="70A77493" w14:textId="77777777" w:rsidR="00C773E0" w:rsidRDefault="00C773E0" w:rsidP="00C773E0">
      <w:pPr>
        <w:pStyle w:val="ListParagraph"/>
      </w:pPr>
    </w:p>
    <w:p w14:paraId="63302708" w14:textId="77777777" w:rsidR="00C773E0" w:rsidRDefault="00C773E0" w:rsidP="00C773E0">
      <w:pPr>
        <w:pStyle w:val="ListParagraph"/>
        <w:numPr>
          <w:ilvl w:val="0"/>
          <w:numId w:val="14"/>
        </w:numPr>
        <w:spacing w:after="160" w:line="259" w:lineRule="auto"/>
      </w:pPr>
      <w:r>
        <w:t xml:space="preserve">The Provost’s office has nearly doubled the amount of support for Graduate students in the past few years. </w:t>
      </w:r>
    </w:p>
    <w:p w14:paraId="49565305" w14:textId="77777777" w:rsidR="00C773E0" w:rsidRPr="00055463" w:rsidRDefault="00C773E0" w:rsidP="00C773E0">
      <w:pPr>
        <w:pStyle w:val="ListParagraph"/>
        <w:numPr>
          <w:ilvl w:val="0"/>
          <w:numId w:val="14"/>
        </w:numPr>
        <w:spacing w:after="160" w:line="259" w:lineRule="auto"/>
      </w:pPr>
      <w:r w:rsidRPr="00055463">
        <w:t xml:space="preserve">There is </w:t>
      </w:r>
      <w:r w:rsidRPr="001055BD">
        <w:rPr>
          <w:i/>
          <w:u w:val="single"/>
        </w:rPr>
        <w:t>about</w:t>
      </w:r>
      <w:r w:rsidRPr="00055463">
        <w:t xml:space="preserve"> $237,000</w:t>
      </w:r>
      <w:r>
        <w:t xml:space="preserve"> in New Grad Fellowships</w:t>
      </w:r>
      <w:r w:rsidRPr="00055463">
        <w:t xml:space="preserve"> to award for Fall, Spring and Summer</w:t>
      </w:r>
      <w:r>
        <w:t xml:space="preserve"> (this number changes depending on how much interest is generated by the fund during the year)</w:t>
      </w:r>
      <w:r w:rsidRPr="00055463">
        <w:t xml:space="preserve">. </w:t>
      </w:r>
      <w:r>
        <w:t>This amounts to about</w:t>
      </w:r>
      <w:r w:rsidRPr="00055463">
        <w:t xml:space="preserve"> 30 New Graduate Fellowships</w:t>
      </w:r>
      <w:r>
        <w:t xml:space="preserve"> (NGF)</w:t>
      </w:r>
      <w:r w:rsidRPr="00055463">
        <w:t xml:space="preserve">/year. </w:t>
      </w:r>
      <w:r>
        <w:t xml:space="preserve">Other funds are made available from donor accounts that make up the remaining $207K. </w:t>
      </w:r>
      <w:r w:rsidRPr="00055463">
        <w:t>There is also a Second Chance Fellowship available for students</w:t>
      </w:r>
      <w:r>
        <w:t xml:space="preserve"> who weren’t eligible the first semester that is funded through the NGF award</w:t>
      </w:r>
      <w:r w:rsidRPr="00055463">
        <w:t xml:space="preserve">. </w:t>
      </w:r>
    </w:p>
    <w:p w14:paraId="0FBBBCFD" w14:textId="77777777" w:rsidR="00C773E0" w:rsidRDefault="00C773E0" w:rsidP="00C773E0">
      <w:pPr>
        <w:pStyle w:val="ListParagraph"/>
        <w:numPr>
          <w:ilvl w:val="0"/>
          <w:numId w:val="14"/>
        </w:numPr>
        <w:spacing w:after="160" w:line="259" w:lineRule="auto"/>
      </w:pPr>
      <w:r w:rsidRPr="00055463">
        <w:t xml:space="preserve">All scholarships are </w:t>
      </w:r>
      <w:r>
        <w:t xml:space="preserve">physically </w:t>
      </w:r>
      <w:r w:rsidRPr="00055463">
        <w:t xml:space="preserve">awarded by the Scholarship Office. </w:t>
      </w:r>
      <w:r>
        <w:t xml:space="preserve">The Graduate School has set minimum GPA criteria for awards. </w:t>
      </w:r>
      <w:r w:rsidRPr="00055463">
        <w:t xml:space="preserve">A $1,000 scholarship is required to qualify for </w:t>
      </w:r>
      <w:r w:rsidRPr="00055463">
        <w:lastRenderedPageBreak/>
        <w:t>in-state tuition; it must be competitive and open to everyone. Scholarship support for graduate students has not increased in 14 years according to the Scholarship office. There has likewise been no increase in</w:t>
      </w:r>
      <w:r>
        <w:t xml:space="preserve"> scholarship</w:t>
      </w:r>
      <w:r w:rsidRPr="00055463">
        <w:t xml:space="preserve"> funding for Graduate students. </w:t>
      </w:r>
      <w:r>
        <w:t xml:space="preserve"> </w:t>
      </w:r>
    </w:p>
    <w:p w14:paraId="304DE50B" w14:textId="77777777" w:rsidR="00C773E0" w:rsidRPr="001055BD" w:rsidRDefault="00C773E0" w:rsidP="00C773E0">
      <w:pPr>
        <w:pStyle w:val="ListParagraph"/>
        <w:numPr>
          <w:ilvl w:val="0"/>
          <w:numId w:val="14"/>
        </w:numPr>
        <w:spacing w:after="160" w:line="259" w:lineRule="auto"/>
      </w:pPr>
      <w:r w:rsidRPr="001055BD">
        <w:t>Updated amounts of Designated Tuition funded scholarships, other institutional scholarships, outside scholarships. Designated tuition couldn’t be broken out into master and doctoral but there were only about 6 doctoral awards:</w:t>
      </w:r>
    </w:p>
    <w:tbl>
      <w:tblPr>
        <w:tblW w:w="4842" w:type="dxa"/>
        <w:tblCellMar>
          <w:left w:w="0" w:type="dxa"/>
          <w:right w:w="0" w:type="dxa"/>
        </w:tblCellMar>
        <w:tblLook w:val="04A0" w:firstRow="1" w:lastRow="0" w:firstColumn="1" w:lastColumn="0" w:noHBand="0" w:noVBand="1"/>
      </w:tblPr>
      <w:tblGrid>
        <w:gridCol w:w="2241"/>
        <w:gridCol w:w="2816"/>
      </w:tblGrid>
      <w:tr w:rsidR="00C773E0" w14:paraId="6756F6C5" w14:textId="77777777" w:rsidTr="00E72D80">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37589423" w14:textId="77777777" w:rsidR="00C773E0" w:rsidRDefault="00C773E0" w:rsidP="00E72D80">
            <w:pPr>
              <w:rPr>
                <w:b/>
                <w:bCs/>
                <w:color w:val="FFFFFF"/>
              </w:rPr>
            </w:pPr>
            <w:r>
              <w:rPr>
                <w:b/>
                <w:bCs/>
                <w:color w:val="FFFFFF"/>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5C37E4F2" w14:textId="77777777" w:rsidR="00C773E0" w:rsidRDefault="00C773E0" w:rsidP="00E72D80">
            <w:pPr>
              <w:rPr>
                <w:b/>
                <w:bCs/>
                <w:color w:val="FFFFFF"/>
              </w:rPr>
            </w:pPr>
            <w:r>
              <w:rPr>
                <w:b/>
                <w:bCs/>
                <w:color w:val="FFFFFF"/>
              </w:rPr>
              <w:t>AY 2018</w:t>
            </w:r>
          </w:p>
        </w:tc>
      </w:tr>
      <w:tr w:rsidR="00C773E0" w14:paraId="72CAB9F4"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E45E220" w14:textId="77777777" w:rsidR="00C773E0" w:rsidRDefault="00C773E0" w:rsidP="00E72D80">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2A009116" w14:textId="77777777" w:rsidR="00C773E0" w:rsidRDefault="00C773E0" w:rsidP="00E72D80">
            <w:pPr>
              <w:rPr>
                <w:color w:val="000000"/>
              </w:rPr>
            </w:pPr>
            <w:r>
              <w:rPr>
                <w:color w:val="000000"/>
              </w:rPr>
              <w:t xml:space="preserve">$                1,568,745.00 </w:t>
            </w:r>
          </w:p>
        </w:tc>
      </w:tr>
      <w:tr w:rsidR="00C773E0" w14:paraId="03767E30"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664CB1FC" w14:textId="77777777" w:rsidR="00C773E0" w:rsidRDefault="00C773E0" w:rsidP="00E72D80">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7550390" w14:textId="77777777" w:rsidR="00C773E0" w:rsidRDefault="00C773E0" w:rsidP="00E72D80">
            <w:pPr>
              <w:rPr>
                <w:color w:val="000000"/>
              </w:rPr>
            </w:pPr>
            <w:r>
              <w:rPr>
                <w:color w:val="000000"/>
              </w:rPr>
              <w:t xml:space="preserve">$                    134,062.62 </w:t>
            </w:r>
          </w:p>
        </w:tc>
      </w:tr>
      <w:tr w:rsidR="00C773E0" w14:paraId="5FF02A81"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3D3A6DD" w14:textId="77777777" w:rsidR="00C773E0" w:rsidRDefault="00C773E0" w:rsidP="00E72D80">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19B56BAA" w14:textId="77777777" w:rsidR="00C773E0" w:rsidRDefault="00C773E0" w:rsidP="00E72D80">
            <w:pPr>
              <w:rPr>
                <w:color w:val="000000"/>
              </w:rPr>
            </w:pPr>
            <w:r>
              <w:rPr>
                <w:color w:val="000000"/>
              </w:rPr>
              <w:t xml:space="preserve">$                      37,978.79 </w:t>
            </w:r>
          </w:p>
        </w:tc>
      </w:tr>
      <w:tr w:rsidR="00C773E0" w14:paraId="594EEAB0"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1B9B7739" w14:textId="77777777" w:rsidR="00C773E0" w:rsidRDefault="00C773E0" w:rsidP="00E72D80">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36398FD0" w14:textId="77777777" w:rsidR="00C773E0" w:rsidRDefault="00C773E0" w:rsidP="00E72D80">
            <w:pPr>
              <w:rPr>
                <w:b/>
                <w:bCs/>
                <w:color w:val="000000"/>
              </w:rPr>
            </w:pPr>
            <w:r>
              <w:rPr>
                <w:b/>
                <w:bCs/>
                <w:color w:val="000000"/>
              </w:rPr>
              <w:t xml:space="preserve">$                1,740,786.41 </w:t>
            </w:r>
          </w:p>
        </w:tc>
      </w:tr>
      <w:tr w:rsidR="00C773E0" w14:paraId="7C203881" w14:textId="77777777" w:rsidTr="00E72D80">
        <w:trPr>
          <w:trHeight w:val="300"/>
        </w:trPr>
        <w:tc>
          <w:tcPr>
            <w:tcW w:w="2241" w:type="dxa"/>
            <w:noWrap/>
            <w:tcMar>
              <w:top w:w="0" w:type="dxa"/>
              <w:left w:w="108" w:type="dxa"/>
              <w:bottom w:w="0" w:type="dxa"/>
              <w:right w:w="108" w:type="dxa"/>
            </w:tcMar>
            <w:vAlign w:val="bottom"/>
            <w:hideMark/>
          </w:tcPr>
          <w:p w14:paraId="438E50C2" w14:textId="77777777" w:rsidR="00C773E0" w:rsidRDefault="00C773E0" w:rsidP="00E72D80">
            <w:pPr>
              <w:rPr>
                <w:b/>
                <w:bCs/>
                <w:color w:val="000000"/>
              </w:rPr>
            </w:pPr>
          </w:p>
        </w:tc>
        <w:tc>
          <w:tcPr>
            <w:tcW w:w="2601" w:type="dxa"/>
            <w:noWrap/>
            <w:tcMar>
              <w:top w:w="0" w:type="dxa"/>
              <w:left w:w="108" w:type="dxa"/>
              <w:bottom w:w="0" w:type="dxa"/>
              <w:right w:w="108" w:type="dxa"/>
            </w:tcMar>
            <w:vAlign w:val="bottom"/>
            <w:hideMark/>
          </w:tcPr>
          <w:p w14:paraId="45BCEEC1" w14:textId="77777777" w:rsidR="00C773E0" w:rsidRDefault="00C773E0" w:rsidP="00E72D80">
            <w:pPr>
              <w:rPr>
                <w:sz w:val="20"/>
                <w:szCs w:val="20"/>
              </w:rPr>
            </w:pPr>
          </w:p>
        </w:tc>
      </w:tr>
      <w:tr w:rsidR="00C773E0" w14:paraId="340A9E1D" w14:textId="77777777" w:rsidTr="00E72D80">
        <w:trPr>
          <w:trHeight w:val="300"/>
        </w:trPr>
        <w:tc>
          <w:tcPr>
            <w:tcW w:w="2241" w:type="dxa"/>
            <w:noWrap/>
            <w:tcMar>
              <w:top w:w="0" w:type="dxa"/>
              <w:left w:w="108" w:type="dxa"/>
              <w:bottom w:w="0" w:type="dxa"/>
              <w:right w:w="108" w:type="dxa"/>
            </w:tcMar>
            <w:vAlign w:val="bottom"/>
            <w:hideMark/>
          </w:tcPr>
          <w:p w14:paraId="7B249742" w14:textId="77777777" w:rsidR="00C773E0" w:rsidRDefault="00C773E0" w:rsidP="00E72D80">
            <w:pPr>
              <w:rPr>
                <w:sz w:val="20"/>
                <w:szCs w:val="20"/>
              </w:rPr>
            </w:pPr>
          </w:p>
        </w:tc>
        <w:tc>
          <w:tcPr>
            <w:tcW w:w="2601" w:type="dxa"/>
            <w:noWrap/>
            <w:tcMar>
              <w:top w:w="0" w:type="dxa"/>
              <w:left w:w="108" w:type="dxa"/>
              <w:bottom w:w="0" w:type="dxa"/>
              <w:right w:w="108" w:type="dxa"/>
            </w:tcMar>
            <w:vAlign w:val="bottom"/>
            <w:hideMark/>
          </w:tcPr>
          <w:p w14:paraId="45CBBC7B" w14:textId="77777777" w:rsidR="00C773E0" w:rsidRDefault="00C773E0" w:rsidP="00E72D80">
            <w:pPr>
              <w:rPr>
                <w:sz w:val="20"/>
                <w:szCs w:val="20"/>
              </w:rPr>
            </w:pPr>
          </w:p>
        </w:tc>
      </w:tr>
      <w:tr w:rsidR="00C773E0" w14:paraId="7704EC2B" w14:textId="77777777" w:rsidTr="00E72D80">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166099CD" w14:textId="77777777" w:rsidR="00C773E0" w:rsidRDefault="00C773E0" w:rsidP="00E72D80">
            <w:pPr>
              <w:rPr>
                <w:rFonts w:ascii="Calibri" w:hAnsi="Calibri"/>
                <w:b/>
                <w:bCs/>
                <w:color w:val="FFFFFF"/>
              </w:rPr>
            </w:pPr>
            <w:r>
              <w:rPr>
                <w:b/>
                <w:bCs/>
                <w:color w:val="FFFFFF"/>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12F90A18" w14:textId="77777777" w:rsidR="00C773E0" w:rsidRDefault="00C773E0" w:rsidP="00E72D80">
            <w:pPr>
              <w:rPr>
                <w:b/>
                <w:bCs/>
                <w:color w:val="FFFFFF"/>
              </w:rPr>
            </w:pPr>
            <w:r>
              <w:rPr>
                <w:b/>
                <w:bCs/>
                <w:color w:val="FFFFFF"/>
              </w:rPr>
              <w:t>AY 2018</w:t>
            </w:r>
          </w:p>
        </w:tc>
      </w:tr>
      <w:tr w:rsidR="00C773E0" w14:paraId="55895CF9"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12E52955" w14:textId="77777777" w:rsidR="00C773E0" w:rsidRDefault="00C773E0" w:rsidP="00E72D80">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C6F5128" w14:textId="77777777" w:rsidR="00C773E0" w:rsidRDefault="00C773E0" w:rsidP="00E72D80">
            <w:pPr>
              <w:rPr>
                <w:color w:val="000000"/>
              </w:rPr>
            </w:pPr>
            <w:r>
              <w:rPr>
                <w:color w:val="000000"/>
              </w:rPr>
              <w:t xml:space="preserve">$                2,612,153.00 </w:t>
            </w:r>
          </w:p>
        </w:tc>
      </w:tr>
      <w:tr w:rsidR="00C773E0" w14:paraId="4CCE521C"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11C09699" w14:textId="77777777" w:rsidR="00C773E0" w:rsidRDefault="00C773E0" w:rsidP="00E72D80">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45E32C4" w14:textId="77777777" w:rsidR="00C773E0" w:rsidRDefault="00C773E0" w:rsidP="00E72D80">
            <w:pPr>
              <w:rPr>
                <w:color w:val="000000"/>
              </w:rPr>
            </w:pPr>
            <w:r>
              <w:rPr>
                <w:color w:val="000000"/>
              </w:rPr>
              <w:t xml:space="preserve">$                      82,800.00 </w:t>
            </w:r>
          </w:p>
        </w:tc>
      </w:tr>
      <w:tr w:rsidR="00C773E0" w14:paraId="5047F4FD"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230CBE6" w14:textId="77777777" w:rsidR="00C773E0" w:rsidRDefault="00C773E0" w:rsidP="00E72D80">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50AF438" w14:textId="77777777" w:rsidR="00C773E0" w:rsidRDefault="00C773E0" w:rsidP="00E72D80">
            <w:pPr>
              <w:rPr>
                <w:color w:val="000000"/>
              </w:rPr>
            </w:pPr>
            <w:r>
              <w:rPr>
                <w:color w:val="000000"/>
              </w:rPr>
              <w:t xml:space="preserve">$                                      -   </w:t>
            </w:r>
          </w:p>
        </w:tc>
      </w:tr>
      <w:tr w:rsidR="00C773E0" w14:paraId="6CD90169"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38E7648" w14:textId="77777777" w:rsidR="00C773E0" w:rsidRDefault="00C773E0" w:rsidP="00E72D80">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3B5CA955" w14:textId="77777777" w:rsidR="00C773E0" w:rsidRDefault="00C773E0" w:rsidP="00E72D80">
            <w:pPr>
              <w:rPr>
                <w:b/>
                <w:bCs/>
                <w:color w:val="000000"/>
              </w:rPr>
            </w:pPr>
            <w:r>
              <w:rPr>
                <w:b/>
                <w:bCs/>
                <w:color w:val="000000"/>
              </w:rPr>
              <w:t xml:space="preserve">$                2,694,953.00 </w:t>
            </w:r>
          </w:p>
        </w:tc>
      </w:tr>
      <w:tr w:rsidR="00C773E0" w14:paraId="0E677559" w14:textId="77777777" w:rsidTr="00E72D80">
        <w:trPr>
          <w:trHeight w:val="300"/>
        </w:trPr>
        <w:tc>
          <w:tcPr>
            <w:tcW w:w="2241" w:type="dxa"/>
            <w:noWrap/>
            <w:tcMar>
              <w:top w:w="0" w:type="dxa"/>
              <w:left w:w="108" w:type="dxa"/>
              <w:bottom w:w="0" w:type="dxa"/>
              <w:right w:w="108" w:type="dxa"/>
            </w:tcMar>
            <w:vAlign w:val="bottom"/>
            <w:hideMark/>
          </w:tcPr>
          <w:p w14:paraId="5C1809AF" w14:textId="77777777" w:rsidR="00C773E0" w:rsidRDefault="00C773E0" w:rsidP="00E72D80">
            <w:pPr>
              <w:rPr>
                <w:b/>
                <w:bCs/>
                <w:color w:val="000000"/>
              </w:rPr>
            </w:pPr>
          </w:p>
        </w:tc>
        <w:tc>
          <w:tcPr>
            <w:tcW w:w="2601" w:type="dxa"/>
            <w:noWrap/>
            <w:tcMar>
              <w:top w:w="0" w:type="dxa"/>
              <w:left w:w="108" w:type="dxa"/>
              <w:bottom w:w="0" w:type="dxa"/>
              <w:right w:w="108" w:type="dxa"/>
            </w:tcMar>
            <w:vAlign w:val="bottom"/>
            <w:hideMark/>
          </w:tcPr>
          <w:p w14:paraId="2138782F" w14:textId="77777777" w:rsidR="00C773E0" w:rsidRDefault="00C773E0" w:rsidP="00E72D80">
            <w:pPr>
              <w:rPr>
                <w:sz w:val="20"/>
                <w:szCs w:val="20"/>
              </w:rPr>
            </w:pPr>
          </w:p>
        </w:tc>
      </w:tr>
      <w:tr w:rsidR="00C773E0" w14:paraId="178BD7B2" w14:textId="77777777" w:rsidTr="00E72D80">
        <w:trPr>
          <w:trHeight w:val="300"/>
        </w:trPr>
        <w:tc>
          <w:tcPr>
            <w:tcW w:w="2241" w:type="dxa"/>
            <w:noWrap/>
            <w:tcMar>
              <w:top w:w="0" w:type="dxa"/>
              <w:left w:w="108" w:type="dxa"/>
              <w:bottom w:w="0" w:type="dxa"/>
              <w:right w:w="108" w:type="dxa"/>
            </w:tcMar>
            <w:vAlign w:val="bottom"/>
            <w:hideMark/>
          </w:tcPr>
          <w:p w14:paraId="320D9BBE" w14:textId="77777777" w:rsidR="00C773E0" w:rsidRDefault="00C773E0" w:rsidP="00E72D80">
            <w:pPr>
              <w:rPr>
                <w:sz w:val="20"/>
                <w:szCs w:val="20"/>
              </w:rPr>
            </w:pPr>
          </w:p>
        </w:tc>
        <w:tc>
          <w:tcPr>
            <w:tcW w:w="2601" w:type="dxa"/>
            <w:noWrap/>
            <w:tcMar>
              <w:top w:w="0" w:type="dxa"/>
              <w:left w:w="108" w:type="dxa"/>
              <w:bottom w:w="0" w:type="dxa"/>
              <w:right w:w="108" w:type="dxa"/>
            </w:tcMar>
            <w:vAlign w:val="bottom"/>
            <w:hideMark/>
          </w:tcPr>
          <w:p w14:paraId="4F1C9BA5" w14:textId="77777777" w:rsidR="00C773E0" w:rsidRDefault="00C773E0" w:rsidP="00E72D80">
            <w:pPr>
              <w:rPr>
                <w:sz w:val="20"/>
                <w:szCs w:val="20"/>
              </w:rPr>
            </w:pPr>
          </w:p>
        </w:tc>
      </w:tr>
      <w:tr w:rsidR="00C773E0" w14:paraId="77CE8B92" w14:textId="77777777" w:rsidTr="00E72D80">
        <w:trPr>
          <w:trHeight w:val="300"/>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6ADE7777" w14:textId="77777777" w:rsidR="00C773E0" w:rsidRDefault="00C773E0" w:rsidP="00E72D80">
            <w:pPr>
              <w:rPr>
                <w:rFonts w:ascii="Calibri" w:hAnsi="Calibri"/>
                <w:b/>
                <w:bCs/>
                <w:color w:val="FFFFFF"/>
              </w:rPr>
            </w:pPr>
            <w:r>
              <w:rPr>
                <w:b/>
                <w:bCs/>
                <w:color w:val="FFFFFF"/>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739A0C16" w14:textId="77777777" w:rsidR="00C773E0" w:rsidRDefault="00C773E0" w:rsidP="00E72D80">
            <w:pPr>
              <w:rPr>
                <w:b/>
                <w:bCs/>
                <w:color w:val="FFFFFF"/>
              </w:rPr>
            </w:pPr>
            <w:r>
              <w:rPr>
                <w:b/>
                <w:bCs/>
                <w:color w:val="FFFFFF"/>
              </w:rPr>
              <w:t>AY 2018</w:t>
            </w:r>
          </w:p>
        </w:tc>
      </w:tr>
      <w:tr w:rsidR="00C773E0" w14:paraId="1C3D30E2"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49CD4950" w14:textId="77777777" w:rsidR="00C773E0" w:rsidRDefault="00C773E0" w:rsidP="00E72D80">
            <w:pPr>
              <w:rPr>
                <w:color w:val="000000"/>
              </w:rPr>
            </w:pPr>
            <w:r>
              <w:rPr>
                <w:color w:val="000000"/>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638263D8" w14:textId="77777777" w:rsidR="00C773E0" w:rsidRDefault="00C773E0" w:rsidP="00E72D80">
            <w:pPr>
              <w:rPr>
                <w:color w:val="000000"/>
              </w:rPr>
            </w:pPr>
            <w:r>
              <w:rPr>
                <w:color w:val="000000"/>
              </w:rPr>
              <w:t xml:space="preserve">$                2,143,609.80 </w:t>
            </w:r>
          </w:p>
        </w:tc>
      </w:tr>
      <w:tr w:rsidR="00C773E0" w14:paraId="27B4748E"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28918A7" w14:textId="77777777" w:rsidR="00C773E0" w:rsidRDefault="00C773E0" w:rsidP="00E72D80">
            <w:pPr>
              <w:rPr>
                <w:color w:val="000000"/>
              </w:rPr>
            </w:pPr>
            <w:r>
              <w:rPr>
                <w:color w:val="000000"/>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083B49C" w14:textId="77777777" w:rsidR="00C773E0" w:rsidRDefault="00C773E0" w:rsidP="00E72D80">
            <w:pPr>
              <w:rPr>
                <w:color w:val="000000"/>
              </w:rPr>
            </w:pPr>
            <w:r>
              <w:rPr>
                <w:color w:val="000000"/>
              </w:rPr>
              <w:t xml:space="preserve">$                    627,086.39 </w:t>
            </w:r>
          </w:p>
        </w:tc>
      </w:tr>
      <w:tr w:rsidR="00C773E0" w14:paraId="4B943A9C" w14:textId="77777777" w:rsidTr="00E72D80">
        <w:trPr>
          <w:trHeight w:val="300"/>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50E821AF" w14:textId="77777777" w:rsidR="00C773E0" w:rsidRDefault="00C773E0" w:rsidP="00E72D80">
            <w:pPr>
              <w:rPr>
                <w:color w:val="000000"/>
              </w:rPr>
            </w:pPr>
            <w:r>
              <w:rPr>
                <w:color w:val="000000"/>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46115F4" w14:textId="77777777" w:rsidR="00C773E0" w:rsidRDefault="00C773E0" w:rsidP="00E72D80">
            <w:pPr>
              <w:rPr>
                <w:color w:val="000000"/>
              </w:rPr>
            </w:pPr>
            <w:r>
              <w:rPr>
                <w:color w:val="000000"/>
              </w:rPr>
              <w:t xml:space="preserve">$                      81,240.00 </w:t>
            </w:r>
          </w:p>
        </w:tc>
      </w:tr>
      <w:tr w:rsidR="00C773E0" w14:paraId="4DEB9C8B" w14:textId="77777777" w:rsidTr="00E72D80">
        <w:trPr>
          <w:trHeight w:val="300"/>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10994E03" w14:textId="77777777" w:rsidR="00C773E0" w:rsidRDefault="00C773E0" w:rsidP="00E72D80">
            <w:pPr>
              <w:rPr>
                <w:b/>
                <w:bCs/>
                <w:color w:val="000000"/>
              </w:rPr>
            </w:pPr>
            <w:r>
              <w:rPr>
                <w:b/>
                <w:bCs/>
                <w:color w:val="000000"/>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64528CAC" w14:textId="77777777" w:rsidR="00C773E0" w:rsidRDefault="00C773E0" w:rsidP="00E72D80">
            <w:pPr>
              <w:rPr>
                <w:b/>
                <w:bCs/>
                <w:color w:val="000000"/>
              </w:rPr>
            </w:pPr>
            <w:r>
              <w:rPr>
                <w:b/>
                <w:bCs/>
                <w:color w:val="000000"/>
              </w:rPr>
              <w:t xml:space="preserve">$                2,851,936.19 </w:t>
            </w:r>
          </w:p>
        </w:tc>
      </w:tr>
    </w:tbl>
    <w:p w14:paraId="62E15636" w14:textId="77777777" w:rsidR="00C773E0" w:rsidRPr="00425A15" w:rsidRDefault="00C773E0" w:rsidP="00C773E0">
      <w:pPr>
        <w:pStyle w:val="ListParagraph"/>
        <w:rPr>
          <w:rFonts w:ascii="Calibri" w:hAnsi="Calibri"/>
          <w:color w:val="1F497D"/>
        </w:rPr>
      </w:pPr>
    </w:p>
    <w:p w14:paraId="79B54E06" w14:textId="77777777" w:rsidR="00C773E0" w:rsidRPr="00425A15" w:rsidRDefault="00C773E0" w:rsidP="00C773E0">
      <w:pPr>
        <w:pStyle w:val="ListParagraph"/>
      </w:pPr>
      <w:r w:rsidRPr="00425A15">
        <w:rPr>
          <w:color w:val="1F497D"/>
        </w:rPr>
        <w:t xml:space="preserve">*please note that the employee scholarship programs are included in the “Other Institutional” table. </w:t>
      </w:r>
      <w:r>
        <w:rPr>
          <w:color w:val="1F497D"/>
        </w:rPr>
        <w:t>We</w:t>
      </w:r>
      <w:r w:rsidRPr="00425A15">
        <w:rPr>
          <w:color w:val="1F497D"/>
        </w:rPr>
        <w:t xml:space="preserve"> do not believe these should count toward the total scholarship number since they are more accurately classified as “benefits.” We can’t use them to recruit students – maybe to recruit employees, but not grad students. </w:t>
      </w:r>
    </w:p>
    <w:p w14:paraId="3B7F3869" w14:textId="77777777" w:rsidR="00C773E0" w:rsidRPr="00055463" w:rsidRDefault="00C773E0" w:rsidP="00C773E0">
      <w:pPr>
        <w:pStyle w:val="ListParagraph"/>
      </w:pPr>
    </w:p>
    <w:p w14:paraId="1AA3F448" w14:textId="77777777" w:rsidR="00C773E0" w:rsidRDefault="00C773E0" w:rsidP="00C773E0">
      <w:pPr>
        <w:pStyle w:val="ListParagraph"/>
        <w:numPr>
          <w:ilvl w:val="0"/>
          <w:numId w:val="14"/>
        </w:numPr>
        <w:spacing w:after="160" w:line="259" w:lineRule="auto"/>
      </w:pPr>
      <w:r w:rsidRPr="00055463">
        <w:t xml:space="preserve">Current </w:t>
      </w:r>
      <w:r>
        <w:t xml:space="preserve">TA funds, offered by Academic Affairs, only support on-campus students in </w:t>
      </w:r>
      <w:r w:rsidRPr="00055463">
        <w:t xml:space="preserve">thesis/dissertation programs. </w:t>
      </w:r>
      <w:r>
        <w:t>This helps recruiting for students in those programs, but we need a comparable award for non-thesis TA/GA students.</w:t>
      </w:r>
    </w:p>
    <w:p w14:paraId="1EDF235C" w14:textId="77777777" w:rsidR="00C773E0" w:rsidRPr="000E3978" w:rsidRDefault="00C773E0" w:rsidP="00C773E0">
      <w:pPr>
        <w:pStyle w:val="ListParagraph"/>
        <w:numPr>
          <w:ilvl w:val="0"/>
          <w:numId w:val="16"/>
        </w:numPr>
        <w:contextualSpacing w:val="0"/>
      </w:pPr>
      <w:r w:rsidRPr="00425A15">
        <w:t xml:space="preserve">NGF awards are not available to School of Education. Students get discounted tuition, which is considered sufficient. </w:t>
      </w:r>
      <w:r w:rsidRPr="000E3978">
        <w:t xml:space="preserve">The discount they receive is greater than the NGF benefit ($1000 annually). </w:t>
      </w:r>
    </w:p>
    <w:p w14:paraId="715C328C" w14:textId="77777777" w:rsidR="00C773E0" w:rsidRDefault="00C773E0" w:rsidP="00C773E0">
      <w:pPr>
        <w:pStyle w:val="ListParagraph"/>
        <w:numPr>
          <w:ilvl w:val="0"/>
          <w:numId w:val="14"/>
        </w:numPr>
        <w:spacing w:after="160" w:line="259" w:lineRule="auto"/>
      </w:pPr>
      <w:r w:rsidRPr="00425A15">
        <w:lastRenderedPageBreak/>
        <w:t>Other Nursing Schools assist graduate students in completing PhD programs, including loan forgiveness. In addition, none of the premium priced programs are eligible for the awards (Academic Partnerships, Executive MPA or Exec</w:t>
      </w:r>
      <w:r>
        <w:t>utive</w:t>
      </w:r>
      <w:r w:rsidRPr="00425A15">
        <w:t xml:space="preserve"> MBA)</w:t>
      </w:r>
      <w:r>
        <w:t>.</w:t>
      </w:r>
    </w:p>
    <w:p w14:paraId="790C128D" w14:textId="77777777" w:rsidR="00C773E0" w:rsidRDefault="00C773E0" w:rsidP="00C773E0">
      <w:pPr>
        <w:pStyle w:val="ListParagraph"/>
        <w:numPr>
          <w:ilvl w:val="0"/>
          <w:numId w:val="14"/>
        </w:numPr>
        <w:spacing w:after="160" w:line="259" w:lineRule="auto"/>
      </w:pPr>
      <w:r>
        <w:t>There is c</w:t>
      </w:r>
      <w:r w:rsidRPr="00425A15">
        <w:t xml:space="preserve">oncern about whether any graduate program has received the funding support that was in the Coordinating Board report for its program. </w:t>
      </w:r>
    </w:p>
    <w:p w14:paraId="5F30A86D" w14:textId="77777777" w:rsidR="00C773E0" w:rsidRPr="00425A15" w:rsidRDefault="00C773E0" w:rsidP="00C773E0">
      <w:pPr>
        <w:pStyle w:val="ListParagraph"/>
        <w:numPr>
          <w:ilvl w:val="0"/>
          <w:numId w:val="14"/>
        </w:numPr>
        <w:spacing w:after="160" w:line="259" w:lineRule="auto"/>
      </w:pPr>
      <w:r>
        <w:t xml:space="preserve">With an increasing number of junior/community colleges offering bachelor degrees, and our new R3 status, we must invest in graduate student education. </w:t>
      </w:r>
    </w:p>
    <w:p w14:paraId="68BA4B84" w14:textId="77777777" w:rsidR="00C773E0" w:rsidRDefault="00C773E0" w:rsidP="00C773E0">
      <w:pPr>
        <w:pStyle w:val="ListParagraph"/>
      </w:pPr>
    </w:p>
    <w:p w14:paraId="4DEFF2B3" w14:textId="77777777" w:rsidR="00C773E0" w:rsidRPr="001017CB" w:rsidRDefault="00C773E0" w:rsidP="00C773E0">
      <w:pPr>
        <w:pStyle w:val="ListParagraph"/>
        <w:ind w:left="0"/>
        <w:rPr>
          <w:u w:val="single"/>
        </w:rPr>
      </w:pPr>
      <w:r w:rsidRPr="001017CB">
        <w:rPr>
          <w:u w:val="single"/>
        </w:rPr>
        <w:t>Recommendations:</w:t>
      </w:r>
    </w:p>
    <w:p w14:paraId="093E9E83" w14:textId="77777777" w:rsidR="00C773E0" w:rsidRPr="001017CB" w:rsidRDefault="00C773E0" w:rsidP="00C773E0">
      <w:pPr>
        <w:pStyle w:val="ListParagraph"/>
        <w:ind w:left="0"/>
        <w:rPr>
          <w:u w:val="single"/>
        </w:rPr>
      </w:pPr>
    </w:p>
    <w:p w14:paraId="4253C721" w14:textId="77777777" w:rsidR="00C773E0" w:rsidRPr="000E3978" w:rsidRDefault="00C773E0" w:rsidP="00C773E0">
      <w:pPr>
        <w:pStyle w:val="ListParagraph"/>
        <w:numPr>
          <w:ilvl w:val="0"/>
          <w:numId w:val="15"/>
        </w:numPr>
        <w:spacing w:after="160" w:line="252" w:lineRule="auto"/>
        <w:rPr>
          <w:rStyle w:val="IntenseEmphasis"/>
          <w:b/>
          <w:i w:val="0"/>
        </w:rPr>
      </w:pPr>
      <w:r w:rsidRPr="000E3978">
        <w:rPr>
          <w:rStyle w:val="IntenseEmphasis"/>
          <w:b/>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w:t>
      </w:r>
      <w:r>
        <w:rPr>
          <w:rStyle w:val="IntenseEmphasis"/>
          <w:b/>
        </w:rPr>
        <w:t xml:space="preserve"> (See 1a, 1b, 1c, 1d above)</w:t>
      </w:r>
      <w:r w:rsidRPr="000E3978">
        <w:rPr>
          <w:rStyle w:val="IntenseEmphasis"/>
          <w:b/>
        </w:rPr>
        <w:t> </w:t>
      </w:r>
    </w:p>
    <w:p w14:paraId="230B1807" w14:textId="77777777" w:rsidR="00C773E0" w:rsidRPr="000E3978" w:rsidRDefault="00C773E0" w:rsidP="00C773E0">
      <w:pPr>
        <w:pStyle w:val="ListParagraph"/>
        <w:numPr>
          <w:ilvl w:val="0"/>
          <w:numId w:val="15"/>
        </w:numPr>
        <w:spacing w:after="160" w:line="252" w:lineRule="auto"/>
        <w:rPr>
          <w:rStyle w:val="IntenseEmphasis"/>
          <w:b/>
          <w:i w:val="0"/>
        </w:rPr>
      </w:pPr>
      <w:r w:rsidRPr="000E3978">
        <w:rPr>
          <w:rStyle w:val="IntenseEmphasis"/>
          <w:b/>
        </w:rPr>
        <w:t>Graduate assistantships should be available to online programs as well. Many programs are successful at providing distance education and could be successful using distance graduate assistants.</w:t>
      </w:r>
      <w:r>
        <w:rPr>
          <w:rStyle w:val="IntenseEmphasis"/>
          <w:b/>
        </w:rPr>
        <w:t xml:space="preserve"> (See 1a, 1c above)</w:t>
      </w:r>
    </w:p>
    <w:p w14:paraId="7BA5929D" w14:textId="77777777" w:rsidR="00C773E0" w:rsidRDefault="00C773E0" w:rsidP="00C773E0">
      <w:pPr>
        <w:pStyle w:val="ListParagraph"/>
        <w:numPr>
          <w:ilvl w:val="0"/>
          <w:numId w:val="15"/>
        </w:numPr>
        <w:spacing w:after="160" w:line="252" w:lineRule="auto"/>
        <w:rPr>
          <w:rStyle w:val="IntenseEmphasis"/>
          <w:b/>
          <w:i w:val="0"/>
        </w:rPr>
      </w:pPr>
      <w:r w:rsidRPr="000E3978">
        <w:rPr>
          <w:rStyle w:val="IntenseEmphasis"/>
          <w:b/>
        </w:rPr>
        <w:t>Some programs, such as Nursing, can qualify for loan forgiveness programs on the state and federal level. This would be attractive to qualifying students and currently hurts recruitment efforts.</w:t>
      </w:r>
    </w:p>
    <w:p w14:paraId="19F69B95" w14:textId="77777777" w:rsidR="00C773E0" w:rsidRPr="000E3978" w:rsidRDefault="00C773E0" w:rsidP="00C773E0">
      <w:pPr>
        <w:pStyle w:val="ListParagraph"/>
        <w:numPr>
          <w:ilvl w:val="0"/>
          <w:numId w:val="15"/>
        </w:numPr>
        <w:spacing w:after="160" w:line="252" w:lineRule="auto"/>
        <w:rPr>
          <w:rStyle w:val="IntenseEmphasis"/>
          <w:b/>
          <w:i w:val="0"/>
        </w:rPr>
      </w:pPr>
      <w:r>
        <w:rPr>
          <w:rStyle w:val="IntenseEmphasis"/>
          <w:b/>
        </w:rPr>
        <w:t xml:space="preserve">Development of employer-sponsored tuition reimbursement or scholarship programs. It would be helpful to have a list of any of those that are currently available. </w:t>
      </w:r>
    </w:p>
    <w:p w14:paraId="24BB5110" w14:textId="77777777" w:rsidR="00C773E0" w:rsidRPr="000E3978" w:rsidRDefault="00C773E0" w:rsidP="00C773E0">
      <w:pPr>
        <w:pStyle w:val="ListParagraph"/>
        <w:numPr>
          <w:ilvl w:val="0"/>
          <w:numId w:val="15"/>
        </w:numPr>
        <w:spacing w:after="160" w:line="252" w:lineRule="auto"/>
        <w:rPr>
          <w:rStyle w:val="IntenseEmphasis"/>
          <w:b/>
          <w:i w:val="0"/>
        </w:rPr>
      </w:pPr>
      <w:r w:rsidRPr="000E3978">
        <w:rPr>
          <w:rStyle w:val="IntenseEmphasis"/>
          <w:b/>
        </w:rPr>
        <w:t>Many of the national ranking survey (US News) asks about graduate student funding, and this information is part of the ranking on indebtedness.</w:t>
      </w:r>
    </w:p>
    <w:p w14:paraId="4121938D" w14:textId="77777777" w:rsidR="00C773E0" w:rsidRPr="000E3978" w:rsidRDefault="00C773E0" w:rsidP="00C773E0">
      <w:pPr>
        <w:pStyle w:val="ListParagraph"/>
        <w:numPr>
          <w:ilvl w:val="0"/>
          <w:numId w:val="15"/>
        </w:numPr>
        <w:spacing w:after="160" w:line="259" w:lineRule="auto"/>
        <w:rPr>
          <w:rStyle w:val="IntenseEmphasis"/>
          <w:b/>
          <w:i w:val="0"/>
        </w:rPr>
      </w:pPr>
      <w:r w:rsidRPr="000E3978">
        <w:rPr>
          <w:rStyle w:val="IntenseEmphasis"/>
          <w:b/>
        </w:rPr>
        <w:t xml:space="preserve">Advancement support is needed to provide sponsorship for graduate scholarships. </w:t>
      </w:r>
      <w:r>
        <w:rPr>
          <w:rStyle w:val="IntenseEmphasis"/>
          <w:b/>
        </w:rPr>
        <w:t xml:space="preserve">It would helpful to have a Graduate student liaison in Advancement.  </w:t>
      </w:r>
    </w:p>
    <w:p w14:paraId="40265FAA" w14:textId="77777777" w:rsidR="00C773E0" w:rsidRPr="000E3978" w:rsidRDefault="00C773E0" w:rsidP="00C773E0">
      <w:pPr>
        <w:pStyle w:val="ListParagraph"/>
        <w:numPr>
          <w:ilvl w:val="0"/>
          <w:numId w:val="15"/>
        </w:numPr>
        <w:spacing w:after="160" w:line="259" w:lineRule="auto"/>
        <w:rPr>
          <w:rStyle w:val="IntenseEmphasis"/>
          <w:b/>
          <w:i w:val="0"/>
        </w:rPr>
      </w:pPr>
      <w:r w:rsidRPr="000E3978">
        <w:rPr>
          <w:rStyle w:val="IntenseEmphasis"/>
          <w:b/>
        </w:rPr>
        <w:t>Funding for Graduate Students should be based on a combination of:</w:t>
      </w:r>
    </w:p>
    <w:p w14:paraId="1B30D5A0" w14:textId="77777777" w:rsidR="00C773E0" w:rsidRPr="000E3978" w:rsidRDefault="00C773E0" w:rsidP="00C773E0">
      <w:pPr>
        <w:pStyle w:val="ListParagraph"/>
        <w:numPr>
          <w:ilvl w:val="1"/>
          <w:numId w:val="15"/>
        </w:numPr>
        <w:spacing w:after="160" w:line="259" w:lineRule="auto"/>
        <w:rPr>
          <w:rStyle w:val="IntenseEmphasis"/>
          <w:b/>
          <w:i w:val="0"/>
        </w:rPr>
      </w:pPr>
      <w:r w:rsidRPr="000E3978">
        <w:rPr>
          <w:rStyle w:val="IntenseEmphasis"/>
          <w:b/>
        </w:rPr>
        <w:t>Percentage of Enrollment</w:t>
      </w:r>
    </w:p>
    <w:p w14:paraId="3B801EF0" w14:textId="77777777" w:rsidR="00C773E0" w:rsidRPr="000E3978" w:rsidRDefault="00C773E0" w:rsidP="00C773E0">
      <w:pPr>
        <w:pStyle w:val="ListParagraph"/>
        <w:numPr>
          <w:ilvl w:val="1"/>
          <w:numId w:val="15"/>
        </w:numPr>
        <w:spacing w:after="160" w:line="259" w:lineRule="auto"/>
        <w:rPr>
          <w:rStyle w:val="IntenseEmphasis"/>
          <w:b/>
          <w:i w:val="0"/>
        </w:rPr>
      </w:pPr>
      <w:r w:rsidRPr="000E3978">
        <w:rPr>
          <w:rStyle w:val="IntenseEmphasis"/>
          <w:b/>
        </w:rPr>
        <w:t>Percentage of Instructional Support Fees (ISF)</w:t>
      </w:r>
    </w:p>
    <w:p w14:paraId="3D2F9F6D" w14:textId="77777777" w:rsidR="00C773E0" w:rsidRPr="000E3978" w:rsidRDefault="00C773E0" w:rsidP="00C773E0">
      <w:pPr>
        <w:pStyle w:val="ListParagraph"/>
        <w:numPr>
          <w:ilvl w:val="1"/>
          <w:numId w:val="15"/>
        </w:numPr>
        <w:spacing w:after="160" w:line="259" w:lineRule="auto"/>
        <w:rPr>
          <w:rStyle w:val="IntenseEmphasis"/>
          <w:b/>
          <w:i w:val="0"/>
        </w:rPr>
      </w:pPr>
      <w:r w:rsidRPr="000E3978">
        <w:rPr>
          <w:rStyle w:val="IntenseEmphasis"/>
          <w:b/>
        </w:rPr>
        <w:t xml:space="preserve">Percentage of Indirect Costs from External Resources (grants) </w:t>
      </w:r>
    </w:p>
    <w:p w14:paraId="6703E1F3" w14:textId="77777777" w:rsidR="00C773E0" w:rsidRPr="000E3978" w:rsidRDefault="00C773E0" w:rsidP="00C773E0">
      <w:pPr>
        <w:pStyle w:val="ListParagraph"/>
        <w:numPr>
          <w:ilvl w:val="0"/>
          <w:numId w:val="15"/>
        </w:numPr>
        <w:spacing w:after="160" w:line="259" w:lineRule="auto"/>
        <w:rPr>
          <w:rStyle w:val="IntenseEmphasis"/>
          <w:b/>
          <w:i w:val="0"/>
        </w:rPr>
      </w:pPr>
      <w:r w:rsidRPr="000E3978">
        <w:rPr>
          <w:rStyle w:val="IntenseEmphasis"/>
          <w:b/>
        </w:rPr>
        <w:t xml:space="preserve">Some flexibility for programs to use funding would allow graduate assistant funding to be used for recruiting, diversity, growth and professional programs depending on program needs. We propose to keep the RA/TA/GA funding separate. </w:t>
      </w:r>
    </w:p>
    <w:p w14:paraId="25B2888F" w14:textId="6618D433" w:rsidR="00C773E0" w:rsidRDefault="00C773E0">
      <w:r>
        <w:br w:type="page"/>
      </w:r>
    </w:p>
    <w:p w14:paraId="6191A7AE" w14:textId="77777777" w:rsidR="00C773E0" w:rsidRDefault="00C773E0"/>
    <w:p w14:paraId="2DB34F06" w14:textId="77777777" w:rsidR="00AD535A" w:rsidRDefault="00AD535A"/>
    <w:p w14:paraId="647E56F3" w14:textId="1100FD4D" w:rsidR="005441A1" w:rsidRPr="002C7993" w:rsidRDefault="00AD535A" w:rsidP="00AD535A">
      <w:pPr>
        <w:spacing w:after="120"/>
        <w:jc w:val="center"/>
        <w:rPr>
          <w:rFonts w:asciiTheme="minorHAnsi" w:hAnsiTheme="minorHAnsi"/>
          <w:b/>
          <w:color w:val="000000" w:themeColor="text1"/>
          <w:szCs w:val="20"/>
        </w:rPr>
      </w:pPr>
      <w:r w:rsidRPr="002C7993">
        <w:rPr>
          <w:rFonts w:asciiTheme="minorHAnsi" w:hAnsiTheme="minorHAnsi"/>
          <w:b/>
          <w:color w:val="000000" w:themeColor="text1"/>
          <w:szCs w:val="20"/>
        </w:rPr>
        <w:t>Doctoral Programs: External Review Handbook</w:t>
      </w:r>
      <w:r w:rsidRPr="002C7993">
        <w:rPr>
          <w:rFonts w:asciiTheme="minorHAnsi" w:hAnsiTheme="minorHAnsi"/>
          <w:b/>
          <w:color w:val="000000" w:themeColor="text1"/>
          <w:szCs w:val="20"/>
        </w:rPr>
        <w:br/>
        <w:t>Appendix A</w:t>
      </w:r>
      <w:r w:rsidRPr="002C7993">
        <w:rPr>
          <w:rFonts w:asciiTheme="minorHAnsi" w:hAnsiTheme="minorHAnsi"/>
          <w:b/>
          <w:color w:val="000000" w:themeColor="text1"/>
          <w:szCs w:val="20"/>
        </w:rPr>
        <w:br/>
        <w:t>Self-Study Guidelines</w:t>
      </w:r>
      <w:r w:rsidRPr="002C7993">
        <w:rPr>
          <w:rFonts w:asciiTheme="minorHAnsi" w:hAnsiTheme="minorHAnsi"/>
          <w:b/>
          <w:color w:val="000000" w:themeColor="text1"/>
          <w:szCs w:val="20"/>
        </w:rPr>
        <w:br/>
        <w:t>Draft of Proposed Language to Include Five Pillars</w:t>
      </w:r>
    </w:p>
    <w:p w14:paraId="6B399B83" w14:textId="1C0FDD3D" w:rsidR="00AD535A" w:rsidRDefault="00AD535A" w:rsidP="00E05201">
      <w:pPr>
        <w:spacing w:after="120"/>
        <w:rPr>
          <w:rFonts w:asciiTheme="minorHAnsi" w:hAnsiTheme="minorHAnsi"/>
          <w:b/>
          <w:color w:val="FF0000"/>
          <w:sz w:val="20"/>
          <w:szCs w:val="20"/>
        </w:rPr>
      </w:pPr>
    </w:p>
    <w:p w14:paraId="53CF458A" w14:textId="77777777" w:rsidR="00AD535A" w:rsidRPr="002C7993" w:rsidRDefault="00AD535A" w:rsidP="00AD535A">
      <w:pPr>
        <w:jc w:val="center"/>
        <w:rPr>
          <w:rFonts w:ascii="Arial" w:hAnsi="Arial" w:cs="Arial"/>
          <w:b/>
          <w:sz w:val="22"/>
          <w:szCs w:val="20"/>
        </w:rPr>
      </w:pPr>
      <w:r w:rsidRPr="002C7993">
        <w:rPr>
          <w:rFonts w:ascii="Arial" w:hAnsi="Arial" w:cs="Arial"/>
          <w:b/>
          <w:sz w:val="22"/>
          <w:szCs w:val="20"/>
        </w:rPr>
        <w:t>The University of Texas at Tyler</w:t>
      </w:r>
    </w:p>
    <w:p w14:paraId="51AB966C" w14:textId="77777777" w:rsidR="00AD535A" w:rsidRPr="00723DCB" w:rsidRDefault="00AD535A" w:rsidP="00AD535A">
      <w:pPr>
        <w:jc w:val="center"/>
        <w:rPr>
          <w:rFonts w:ascii="Arial" w:hAnsi="Arial" w:cs="Arial"/>
          <w:b/>
          <w:szCs w:val="20"/>
        </w:rPr>
      </w:pPr>
      <w:r>
        <w:rPr>
          <w:rFonts w:ascii="Arial" w:hAnsi="Arial" w:cs="Arial"/>
          <w:b/>
          <w:szCs w:val="20"/>
        </w:rPr>
        <w:t>Doctoral</w:t>
      </w:r>
      <w:r w:rsidRPr="00723DCB">
        <w:rPr>
          <w:rFonts w:ascii="Arial" w:hAnsi="Arial" w:cs="Arial"/>
          <w:b/>
          <w:szCs w:val="20"/>
        </w:rPr>
        <w:t xml:space="preserve"> Program Self-Study Guidelines</w:t>
      </w:r>
    </w:p>
    <w:p w14:paraId="3EB69E87" w14:textId="77777777" w:rsidR="00AD535A" w:rsidRPr="00723DCB" w:rsidRDefault="00AD535A" w:rsidP="00AD535A">
      <w:pPr>
        <w:jc w:val="center"/>
        <w:rPr>
          <w:rFonts w:ascii="Arial" w:hAnsi="Arial" w:cs="Arial"/>
          <w:b/>
          <w:sz w:val="20"/>
          <w:szCs w:val="20"/>
        </w:rPr>
      </w:pPr>
    </w:p>
    <w:p w14:paraId="7EEC6D17" w14:textId="77777777" w:rsidR="00AD535A" w:rsidRPr="00723DCB" w:rsidRDefault="00AD535A" w:rsidP="00AD535A">
      <w:pPr>
        <w:pStyle w:val="Default"/>
        <w:rPr>
          <w:rFonts w:ascii="Arial" w:hAnsi="Arial" w:cs="Arial"/>
          <w:bCs/>
          <w:sz w:val="22"/>
          <w:szCs w:val="22"/>
        </w:rPr>
      </w:pPr>
      <w:r w:rsidRPr="00723DCB">
        <w:rPr>
          <w:rFonts w:ascii="Arial" w:hAnsi="Arial" w:cs="Arial"/>
          <w:b/>
          <w:bCs/>
          <w:sz w:val="22"/>
          <w:szCs w:val="22"/>
        </w:rPr>
        <w:t>I.</w:t>
      </w:r>
      <w:r w:rsidRPr="00723DCB">
        <w:rPr>
          <w:rFonts w:ascii="Arial" w:hAnsi="Arial" w:cs="Arial"/>
          <w:b/>
          <w:bCs/>
          <w:sz w:val="22"/>
          <w:szCs w:val="22"/>
        </w:rPr>
        <w:tab/>
      </w:r>
      <w:r>
        <w:rPr>
          <w:rFonts w:ascii="Arial" w:hAnsi="Arial" w:cs="Arial"/>
          <w:b/>
          <w:bCs/>
          <w:sz w:val="22"/>
          <w:szCs w:val="22"/>
        </w:rPr>
        <w:t xml:space="preserve">Degree </w:t>
      </w:r>
      <w:r w:rsidRPr="00723DCB">
        <w:rPr>
          <w:rFonts w:ascii="Arial" w:hAnsi="Arial" w:cs="Arial"/>
          <w:b/>
          <w:bCs/>
          <w:sz w:val="22"/>
          <w:szCs w:val="22"/>
        </w:rPr>
        <w:t>Program Overview</w:t>
      </w:r>
      <w:r w:rsidRPr="00723DCB">
        <w:rPr>
          <w:rFonts w:ascii="Arial" w:hAnsi="Arial" w:cs="Arial"/>
          <w:bCs/>
          <w:sz w:val="22"/>
          <w:szCs w:val="22"/>
        </w:rPr>
        <w:t xml:space="preserve"> </w:t>
      </w:r>
    </w:p>
    <w:p w14:paraId="4F221992" w14:textId="77777777" w:rsidR="00AD535A" w:rsidRPr="00723DCB" w:rsidRDefault="00AD535A" w:rsidP="00AD535A">
      <w:pPr>
        <w:pStyle w:val="Default"/>
        <w:rPr>
          <w:rFonts w:ascii="Arial" w:hAnsi="Arial" w:cs="Arial"/>
          <w:sz w:val="22"/>
          <w:szCs w:val="22"/>
        </w:rPr>
      </w:pPr>
    </w:p>
    <w:p w14:paraId="6A3BC696" w14:textId="16F28CFC" w:rsidR="00AD535A" w:rsidRPr="00A17972" w:rsidRDefault="00AD535A" w:rsidP="00AD535A">
      <w:pPr>
        <w:pStyle w:val="Default"/>
        <w:ind w:left="1440"/>
        <w:rPr>
          <w:rFonts w:ascii="Arial" w:hAnsi="Arial" w:cs="Arial"/>
          <w:bCs/>
          <w:sz w:val="22"/>
          <w:szCs w:val="22"/>
        </w:rPr>
      </w:pPr>
      <w:r w:rsidRPr="00723DCB">
        <w:rPr>
          <w:rFonts w:ascii="Arial" w:hAnsi="Arial" w:cs="Arial"/>
          <w:bCs/>
          <w:sz w:val="22"/>
          <w:szCs w:val="22"/>
        </w:rPr>
        <w:t xml:space="preserve">A. </w:t>
      </w:r>
      <w:r w:rsidRPr="00A17972">
        <w:rPr>
          <w:rFonts w:ascii="Arial" w:hAnsi="Arial" w:cs="Arial"/>
          <w:bCs/>
          <w:sz w:val="22"/>
          <w:szCs w:val="22"/>
        </w:rPr>
        <w:t xml:space="preserve">Purpose - include a brief history and description of the program and </w:t>
      </w:r>
      <w:r w:rsidR="00E75ABE" w:rsidRPr="00A17972">
        <w:rPr>
          <w:rFonts w:ascii="Arial" w:hAnsi="Arial" w:cs="Arial"/>
          <w:bCs/>
          <w:sz w:val="22"/>
          <w:szCs w:val="22"/>
        </w:rPr>
        <w:t>its</w:t>
      </w:r>
      <w:r w:rsidRPr="00A17972">
        <w:rPr>
          <w:rFonts w:ascii="Arial" w:hAnsi="Arial" w:cs="Arial"/>
          <w:bCs/>
          <w:sz w:val="22"/>
          <w:szCs w:val="22"/>
        </w:rPr>
        <w:t xml:space="preserve"> alignment with institutional mission and goals; </w:t>
      </w:r>
      <w:r>
        <w:rPr>
          <w:rFonts w:ascii="Arial" w:hAnsi="Arial" w:cs="Arial"/>
          <w:bCs/>
          <w:i/>
          <w:color w:val="FF0000"/>
          <w:sz w:val="22"/>
          <w:szCs w:val="22"/>
        </w:rPr>
        <w:t>present summary information on how the program supports each of the five pillars in the 2019-23 UT Tyler Strategic Plan</w:t>
      </w:r>
      <w:r w:rsidRPr="009F3817">
        <w:rPr>
          <w:rFonts w:ascii="Arial" w:hAnsi="Arial" w:cs="Arial"/>
          <w:bCs/>
          <w:sz w:val="22"/>
          <w:szCs w:val="22"/>
        </w:rPr>
        <w:t xml:space="preserve"> </w:t>
      </w:r>
      <w:r w:rsidRPr="002E5CE2">
        <w:rPr>
          <w:rFonts w:ascii="Arial" w:hAnsi="Arial" w:cs="Arial"/>
          <w:bCs/>
          <w:strike/>
          <w:sz w:val="22"/>
          <w:szCs w:val="22"/>
        </w:rPr>
        <w:t>showcase degree program strengths and awards, identify concerns</w:t>
      </w:r>
      <w:r w:rsidRPr="009F3817">
        <w:rPr>
          <w:rFonts w:ascii="Arial" w:hAnsi="Arial" w:cs="Arial"/>
          <w:bCs/>
          <w:sz w:val="22"/>
          <w:szCs w:val="22"/>
        </w:rPr>
        <w:t xml:space="preserve">, </w:t>
      </w:r>
      <w:r w:rsidRPr="00A17972">
        <w:rPr>
          <w:rFonts w:ascii="Arial" w:hAnsi="Arial" w:cs="Arial"/>
          <w:bCs/>
          <w:sz w:val="22"/>
          <w:szCs w:val="22"/>
        </w:rPr>
        <w:t xml:space="preserve">and outline the future vision. </w:t>
      </w:r>
    </w:p>
    <w:p w14:paraId="123E4C73" w14:textId="77777777" w:rsidR="00AD535A" w:rsidRPr="00A17972" w:rsidRDefault="00AD535A" w:rsidP="00AD535A">
      <w:pPr>
        <w:pStyle w:val="Default"/>
        <w:ind w:firstLine="720"/>
        <w:rPr>
          <w:rFonts w:ascii="Arial" w:hAnsi="Arial" w:cs="Arial"/>
          <w:b/>
          <w:bCs/>
          <w:sz w:val="20"/>
          <w:szCs w:val="22"/>
        </w:rPr>
      </w:pPr>
      <w:r w:rsidRPr="00A17972">
        <w:rPr>
          <w:rFonts w:ascii="Arial" w:hAnsi="Arial" w:cs="Arial"/>
          <w:bCs/>
          <w:sz w:val="22"/>
          <w:szCs w:val="22"/>
        </w:rPr>
        <w:tab/>
      </w:r>
      <w:r w:rsidRPr="00A17972">
        <w:rPr>
          <w:rFonts w:ascii="Arial" w:hAnsi="Arial" w:cs="Arial"/>
          <w:b/>
          <w:bCs/>
          <w:sz w:val="20"/>
          <w:szCs w:val="22"/>
        </w:rPr>
        <w:t>Resource: Program</w:t>
      </w:r>
    </w:p>
    <w:p w14:paraId="7B079717" w14:textId="77777777" w:rsidR="00AD535A" w:rsidRDefault="00AD535A" w:rsidP="00AD535A">
      <w:pPr>
        <w:pStyle w:val="Default"/>
        <w:ind w:firstLine="720"/>
        <w:rPr>
          <w:rFonts w:ascii="Arial" w:hAnsi="Arial" w:cs="Arial"/>
          <w:b/>
          <w:bCs/>
          <w:sz w:val="20"/>
          <w:szCs w:val="22"/>
        </w:rPr>
      </w:pPr>
      <w:r w:rsidRPr="00A17972">
        <w:rPr>
          <w:rFonts w:ascii="Arial" w:hAnsi="Arial" w:cs="Arial"/>
          <w:b/>
          <w:bCs/>
          <w:sz w:val="20"/>
          <w:szCs w:val="22"/>
        </w:rPr>
        <w:tab/>
        <w:t>Request Time: N/A</w:t>
      </w:r>
    </w:p>
    <w:p w14:paraId="6D3C39D9" w14:textId="77777777" w:rsidR="00AD535A" w:rsidRPr="00723DCB" w:rsidRDefault="00AD535A" w:rsidP="00AD535A">
      <w:pPr>
        <w:pStyle w:val="Default"/>
        <w:ind w:firstLine="720"/>
        <w:rPr>
          <w:rFonts w:ascii="Arial" w:hAnsi="Arial" w:cs="Arial"/>
          <w:b/>
          <w:bCs/>
          <w:sz w:val="22"/>
          <w:szCs w:val="22"/>
        </w:rPr>
      </w:pPr>
    </w:p>
    <w:p w14:paraId="3A843AA2" w14:textId="77777777" w:rsidR="00AD535A" w:rsidRPr="00723DCB" w:rsidRDefault="00AD535A" w:rsidP="00AD535A">
      <w:pPr>
        <w:pStyle w:val="Default"/>
        <w:ind w:left="1440"/>
        <w:rPr>
          <w:rFonts w:ascii="Arial" w:hAnsi="Arial" w:cs="Arial"/>
          <w:bCs/>
          <w:sz w:val="22"/>
          <w:szCs w:val="22"/>
        </w:rPr>
      </w:pPr>
      <w:r w:rsidRPr="00723DCB">
        <w:rPr>
          <w:rFonts w:ascii="Arial" w:hAnsi="Arial" w:cs="Arial"/>
          <w:bCs/>
          <w:sz w:val="22"/>
          <w:szCs w:val="22"/>
        </w:rPr>
        <w:t xml:space="preserve">B. </w:t>
      </w:r>
      <w:r>
        <w:rPr>
          <w:rFonts w:ascii="Arial" w:hAnsi="Arial" w:cs="Arial"/>
          <w:bCs/>
          <w:sz w:val="22"/>
          <w:szCs w:val="22"/>
        </w:rPr>
        <w:t>Program</w:t>
      </w:r>
      <w:r w:rsidRPr="00723DCB">
        <w:rPr>
          <w:rFonts w:ascii="Arial" w:hAnsi="Arial" w:cs="Arial"/>
          <w:bCs/>
          <w:sz w:val="22"/>
          <w:szCs w:val="22"/>
        </w:rPr>
        <w:t xml:space="preserve"> Strategic Plan - </w:t>
      </w:r>
      <w:r>
        <w:rPr>
          <w:rFonts w:ascii="Arial" w:hAnsi="Arial" w:cs="Arial"/>
          <w:bCs/>
          <w:sz w:val="22"/>
          <w:szCs w:val="22"/>
        </w:rPr>
        <w:t>describe</w:t>
      </w:r>
      <w:r w:rsidRPr="00723DCB">
        <w:rPr>
          <w:rFonts w:ascii="Arial" w:hAnsi="Arial" w:cs="Arial"/>
          <w:bCs/>
          <w:sz w:val="22"/>
          <w:szCs w:val="22"/>
        </w:rPr>
        <w:t xml:space="preserve"> plans for </w:t>
      </w:r>
      <w:r>
        <w:rPr>
          <w:rFonts w:ascii="Arial" w:hAnsi="Arial" w:cs="Arial"/>
          <w:bCs/>
          <w:sz w:val="22"/>
          <w:szCs w:val="22"/>
        </w:rPr>
        <w:t xml:space="preserve">short-term and mid-range </w:t>
      </w:r>
      <w:r w:rsidRPr="00723DCB">
        <w:rPr>
          <w:rFonts w:ascii="Arial" w:hAnsi="Arial" w:cs="Arial"/>
          <w:bCs/>
          <w:sz w:val="22"/>
          <w:szCs w:val="22"/>
        </w:rPr>
        <w:t xml:space="preserve">planning </w:t>
      </w:r>
      <w:r w:rsidRPr="000F1E4E">
        <w:rPr>
          <w:rFonts w:ascii="Arial" w:hAnsi="Arial" w:cs="Arial"/>
          <w:bCs/>
          <w:sz w:val="22"/>
          <w:szCs w:val="22"/>
        </w:rPr>
        <w:t>1-3</w:t>
      </w:r>
      <w:r w:rsidRPr="00723DCB">
        <w:rPr>
          <w:rFonts w:ascii="Arial" w:hAnsi="Arial" w:cs="Arial"/>
          <w:bCs/>
          <w:sz w:val="22"/>
          <w:szCs w:val="22"/>
        </w:rPr>
        <w:t xml:space="preserve"> years out </w:t>
      </w:r>
    </w:p>
    <w:p w14:paraId="7DCA3BFA" w14:textId="77777777" w:rsidR="00AD535A" w:rsidRPr="007A290E" w:rsidRDefault="00AD535A" w:rsidP="00AD535A">
      <w:pPr>
        <w:pStyle w:val="Default"/>
        <w:ind w:left="720"/>
        <w:rPr>
          <w:rFonts w:ascii="Arial" w:hAnsi="Arial" w:cs="Arial"/>
          <w:b/>
          <w:bCs/>
          <w:sz w:val="20"/>
          <w:szCs w:val="22"/>
        </w:rPr>
      </w:pPr>
      <w:r w:rsidRPr="00723DCB">
        <w:rPr>
          <w:rFonts w:ascii="Arial" w:hAnsi="Arial" w:cs="Arial"/>
          <w:bCs/>
          <w:sz w:val="22"/>
          <w:szCs w:val="22"/>
        </w:rPr>
        <w:tab/>
      </w:r>
      <w:r w:rsidRPr="007A290E">
        <w:rPr>
          <w:rFonts w:ascii="Arial" w:hAnsi="Arial" w:cs="Arial"/>
          <w:b/>
          <w:bCs/>
          <w:sz w:val="20"/>
          <w:szCs w:val="22"/>
        </w:rPr>
        <w:t>Resource:  Program</w:t>
      </w:r>
    </w:p>
    <w:p w14:paraId="526BF1EF" w14:textId="77777777" w:rsidR="00AD535A" w:rsidRDefault="00AD535A" w:rsidP="00AD535A">
      <w:pPr>
        <w:pStyle w:val="Default"/>
        <w:ind w:left="720"/>
        <w:rPr>
          <w:rFonts w:ascii="Arial" w:hAnsi="Arial" w:cs="Arial"/>
          <w:b/>
          <w:bCs/>
          <w:sz w:val="20"/>
          <w:szCs w:val="22"/>
        </w:rPr>
      </w:pPr>
      <w:r w:rsidRPr="007A290E">
        <w:rPr>
          <w:rFonts w:ascii="Arial" w:hAnsi="Arial" w:cs="Arial"/>
          <w:b/>
          <w:bCs/>
          <w:sz w:val="20"/>
          <w:szCs w:val="22"/>
        </w:rPr>
        <w:tab/>
        <w:t>Request Time: N/A</w:t>
      </w:r>
    </w:p>
    <w:p w14:paraId="122D5171" w14:textId="77777777" w:rsidR="00AD535A" w:rsidRDefault="00AD535A" w:rsidP="00AD535A">
      <w:pPr>
        <w:pStyle w:val="Default"/>
        <w:ind w:left="720"/>
        <w:rPr>
          <w:rFonts w:ascii="Arial" w:hAnsi="Arial" w:cs="Arial"/>
          <w:b/>
          <w:bCs/>
          <w:sz w:val="20"/>
          <w:szCs w:val="22"/>
        </w:rPr>
      </w:pPr>
    </w:p>
    <w:p w14:paraId="6F9A19F0" w14:textId="77777777" w:rsidR="00AD535A" w:rsidRPr="002C7993" w:rsidRDefault="00AD535A" w:rsidP="00AD535A">
      <w:pPr>
        <w:pStyle w:val="Heading2"/>
        <w:spacing w:before="0"/>
        <w:ind w:left="1440"/>
        <w:rPr>
          <w:rFonts w:ascii="Arial" w:hAnsi="Arial" w:cs="Arial"/>
          <w:b/>
          <w:i/>
          <w:color w:val="000000" w:themeColor="text1"/>
          <w:sz w:val="22"/>
          <w:szCs w:val="22"/>
        </w:rPr>
      </w:pPr>
      <w:r w:rsidRPr="002C7993">
        <w:rPr>
          <w:rFonts w:ascii="Arial" w:hAnsi="Arial" w:cs="Arial"/>
          <w:color w:val="000000" w:themeColor="text1"/>
          <w:sz w:val="22"/>
          <w:szCs w:val="22"/>
        </w:rPr>
        <w:t>C. Table Summary of Program Curriculum and duration in comparison with peer programs (stated fixed time to degree based on fall semester enrolment for last 3 years)</w:t>
      </w:r>
    </w:p>
    <w:p w14:paraId="05E20DBE" w14:textId="77777777" w:rsidR="00AD535A" w:rsidRPr="002C7993" w:rsidRDefault="00AD535A" w:rsidP="002C7993">
      <w:pPr>
        <w:pStyle w:val="Default"/>
        <w:ind w:left="720" w:firstLine="720"/>
        <w:rPr>
          <w:rFonts w:ascii="Arial" w:hAnsi="Arial" w:cs="Arial"/>
          <w:b/>
          <w:bCs/>
          <w:sz w:val="20"/>
          <w:szCs w:val="22"/>
        </w:rPr>
      </w:pPr>
      <w:r w:rsidRPr="002C7993">
        <w:rPr>
          <w:rFonts w:ascii="Arial" w:hAnsi="Arial" w:cs="Arial"/>
          <w:b/>
          <w:bCs/>
          <w:sz w:val="20"/>
          <w:szCs w:val="22"/>
        </w:rPr>
        <w:t>Resource: Program</w:t>
      </w:r>
    </w:p>
    <w:p w14:paraId="4C35E7BF" w14:textId="2EC4ECCF" w:rsidR="00AD535A" w:rsidRPr="002C7993" w:rsidRDefault="00AD535A" w:rsidP="002C7993">
      <w:pPr>
        <w:pStyle w:val="Default"/>
        <w:ind w:left="720"/>
        <w:rPr>
          <w:rFonts w:ascii="Arial" w:hAnsi="Arial" w:cs="Arial"/>
          <w:b/>
          <w:bCs/>
          <w:sz w:val="20"/>
          <w:szCs w:val="22"/>
        </w:rPr>
      </w:pPr>
      <w:r w:rsidRPr="002C7993">
        <w:rPr>
          <w:rFonts w:ascii="Arial" w:hAnsi="Arial" w:cs="Arial"/>
          <w:b/>
          <w:bCs/>
          <w:sz w:val="20"/>
          <w:szCs w:val="22"/>
        </w:rPr>
        <w:tab/>
        <w:t>Request Time: N/A</w:t>
      </w:r>
    </w:p>
    <w:p w14:paraId="27A72F53" w14:textId="551C99F1" w:rsidR="00AD535A" w:rsidRDefault="00AD535A" w:rsidP="00E05201">
      <w:pPr>
        <w:spacing w:after="120"/>
        <w:rPr>
          <w:rFonts w:asciiTheme="minorHAnsi" w:hAnsiTheme="minorHAnsi"/>
          <w:b/>
          <w:color w:val="FF0000"/>
          <w:sz w:val="20"/>
          <w:szCs w:val="20"/>
        </w:rPr>
      </w:pPr>
    </w:p>
    <w:p w14:paraId="454A8665" w14:textId="645AB189" w:rsidR="002C7993" w:rsidRDefault="002C7993" w:rsidP="00E05201">
      <w:pPr>
        <w:spacing w:after="120"/>
        <w:rPr>
          <w:rFonts w:asciiTheme="minorHAnsi" w:hAnsiTheme="minorHAnsi"/>
          <w:b/>
          <w:color w:val="FF0000"/>
          <w:sz w:val="20"/>
          <w:szCs w:val="20"/>
        </w:rPr>
      </w:pPr>
    </w:p>
    <w:p w14:paraId="3B1076E3" w14:textId="5064A221" w:rsidR="002C7993" w:rsidRPr="002C7993" w:rsidRDefault="002C7993" w:rsidP="002C7993">
      <w:pPr>
        <w:spacing w:after="120"/>
        <w:jc w:val="center"/>
        <w:rPr>
          <w:rFonts w:asciiTheme="minorHAnsi" w:hAnsiTheme="minorHAnsi"/>
          <w:b/>
          <w:color w:val="000000" w:themeColor="text1"/>
          <w:szCs w:val="20"/>
        </w:rPr>
      </w:pPr>
      <w:r w:rsidRPr="002C7993">
        <w:rPr>
          <w:rFonts w:asciiTheme="minorHAnsi" w:hAnsiTheme="minorHAnsi"/>
          <w:b/>
          <w:color w:val="000000" w:themeColor="text1"/>
          <w:szCs w:val="20"/>
        </w:rPr>
        <w:t>Graduate Programs: External Review Handbook</w:t>
      </w:r>
      <w:r w:rsidRPr="002C7993">
        <w:rPr>
          <w:rFonts w:asciiTheme="minorHAnsi" w:hAnsiTheme="minorHAnsi"/>
          <w:b/>
          <w:color w:val="000000" w:themeColor="text1"/>
          <w:szCs w:val="20"/>
        </w:rPr>
        <w:br/>
        <w:t>Appendix A</w:t>
      </w:r>
      <w:r w:rsidRPr="002C7993">
        <w:rPr>
          <w:rFonts w:asciiTheme="minorHAnsi" w:hAnsiTheme="minorHAnsi"/>
          <w:b/>
          <w:color w:val="000000" w:themeColor="text1"/>
          <w:szCs w:val="20"/>
        </w:rPr>
        <w:br/>
        <w:t>Self-Study Guidelines</w:t>
      </w:r>
      <w:r w:rsidRPr="002C7993">
        <w:rPr>
          <w:rFonts w:asciiTheme="minorHAnsi" w:hAnsiTheme="minorHAnsi"/>
          <w:b/>
          <w:color w:val="000000" w:themeColor="text1"/>
          <w:szCs w:val="20"/>
        </w:rPr>
        <w:br/>
        <w:t>Draft of Proposed Language to Include Five Pillars</w:t>
      </w:r>
    </w:p>
    <w:p w14:paraId="039D8424" w14:textId="4CE30955" w:rsidR="002C7993" w:rsidRDefault="002C7993" w:rsidP="00E05201">
      <w:pPr>
        <w:spacing w:after="120"/>
        <w:rPr>
          <w:rFonts w:asciiTheme="minorHAnsi" w:hAnsiTheme="minorHAnsi"/>
          <w:b/>
          <w:color w:val="FF0000"/>
          <w:sz w:val="20"/>
          <w:szCs w:val="20"/>
        </w:rPr>
      </w:pPr>
    </w:p>
    <w:p w14:paraId="727C7511" w14:textId="77777777" w:rsidR="002C7993" w:rsidRPr="00723DCB" w:rsidRDefault="002C7993" w:rsidP="002C7993">
      <w:pPr>
        <w:jc w:val="center"/>
        <w:rPr>
          <w:rFonts w:ascii="Arial" w:hAnsi="Arial" w:cs="Arial"/>
          <w:b/>
          <w:szCs w:val="20"/>
        </w:rPr>
      </w:pPr>
      <w:r w:rsidRPr="00723DCB">
        <w:rPr>
          <w:rFonts w:ascii="Arial" w:hAnsi="Arial" w:cs="Arial"/>
          <w:b/>
          <w:szCs w:val="20"/>
        </w:rPr>
        <w:t>The University of Texas at Tyler</w:t>
      </w:r>
    </w:p>
    <w:p w14:paraId="2BA3F1A8" w14:textId="77777777" w:rsidR="002C7993" w:rsidRPr="00723DCB" w:rsidRDefault="002C7993" w:rsidP="002C7993">
      <w:pPr>
        <w:jc w:val="center"/>
        <w:rPr>
          <w:rFonts w:ascii="Arial" w:hAnsi="Arial" w:cs="Arial"/>
          <w:b/>
          <w:szCs w:val="20"/>
        </w:rPr>
      </w:pPr>
      <w:r w:rsidRPr="00723DCB">
        <w:rPr>
          <w:rFonts w:ascii="Arial" w:hAnsi="Arial" w:cs="Arial"/>
          <w:b/>
          <w:szCs w:val="20"/>
        </w:rPr>
        <w:t>Graduate Program Self-Study Guidelines</w:t>
      </w:r>
    </w:p>
    <w:p w14:paraId="4B7A83D6" w14:textId="77777777" w:rsidR="002C7993" w:rsidRPr="00723DCB" w:rsidRDefault="002C7993" w:rsidP="002C7993">
      <w:pPr>
        <w:jc w:val="center"/>
        <w:rPr>
          <w:rFonts w:ascii="Arial" w:hAnsi="Arial" w:cs="Arial"/>
          <w:b/>
          <w:sz w:val="20"/>
          <w:szCs w:val="20"/>
        </w:rPr>
      </w:pPr>
    </w:p>
    <w:p w14:paraId="17C2C55D" w14:textId="77777777" w:rsidR="002C7993" w:rsidRPr="00723DCB" w:rsidRDefault="002C7993" w:rsidP="002C7993">
      <w:pPr>
        <w:pStyle w:val="Default"/>
        <w:rPr>
          <w:rFonts w:ascii="Arial" w:hAnsi="Arial" w:cs="Arial"/>
          <w:b/>
          <w:bCs/>
          <w:sz w:val="18"/>
          <w:szCs w:val="18"/>
        </w:rPr>
      </w:pPr>
    </w:p>
    <w:p w14:paraId="261A4B91" w14:textId="77777777" w:rsidR="002C7993" w:rsidRPr="00723DCB" w:rsidRDefault="002C7993" w:rsidP="002C7993">
      <w:pPr>
        <w:pStyle w:val="Default"/>
        <w:rPr>
          <w:rFonts w:ascii="Arial" w:hAnsi="Arial" w:cs="Arial"/>
          <w:bCs/>
          <w:sz w:val="22"/>
          <w:szCs w:val="22"/>
        </w:rPr>
      </w:pPr>
      <w:r w:rsidRPr="00723DCB">
        <w:rPr>
          <w:rFonts w:ascii="Arial" w:hAnsi="Arial" w:cs="Arial"/>
          <w:b/>
          <w:bCs/>
          <w:sz w:val="22"/>
          <w:szCs w:val="22"/>
        </w:rPr>
        <w:t>I.</w:t>
      </w:r>
      <w:r w:rsidRPr="00723DCB">
        <w:rPr>
          <w:rFonts w:ascii="Arial" w:hAnsi="Arial" w:cs="Arial"/>
          <w:b/>
          <w:bCs/>
          <w:sz w:val="22"/>
          <w:szCs w:val="22"/>
        </w:rPr>
        <w:tab/>
      </w:r>
      <w:r>
        <w:rPr>
          <w:rFonts w:ascii="Arial" w:hAnsi="Arial" w:cs="Arial"/>
          <w:b/>
          <w:bCs/>
          <w:sz w:val="22"/>
          <w:szCs w:val="22"/>
        </w:rPr>
        <w:t xml:space="preserve">Degree </w:t>
      </w:r>
      <w:r w:rsidRPr="00723DCB">
        <w:rPr>
          <w:rFonts w:ascii="Arial" w:hAnsi="Arial" w:cs="Arial"/>
          <w:b/>
          <w:bCs/>
          <w:sz w:val="22"/>
          <w:szCs w:val="22"/>
        </w:rPr>
        <w:t>Program Overview</w:t>
      </w:r>
      <w:r w:rsidRPr="00723DCB">
        <w:rPr>
          <w:rFonts w:ascii="Arial" w:hAnsi="Arial" w:cs="Arial"/>
          <w:bCs/>
          <w:sz w:val="22"/>
          <w:szCs w:val="22"/>
        </w:rPr>
        <w:t xml:space="preserve"> </w:t>
      </w:r>
    </w:p>
    <w:p w14:paraId="59D1B7CA" w14:textId="77777777" w:rsidR="002C7993" w:rsidRPr="00723DCB" w:rsidRDefault="002C7993" w:rsidP="002C7993">
      <w:pPr>
        <w:pStyle w:val="Default"/>
        <w:rPr>
          <w:rFonts w:ascii="Arial" w:hAnsi="Arial" w:cs="Arial"/>
          <w:sz w:val="22"/>
          <w:szCs w:val="22"/>
        </w:rPr>
      </w:pPr>
    </w:p>
    <w:p w14:paraId="5D84B079" w14:textId="03A24150" w:rsidR="002C7993" w:rsidRPr="009F3817" w:rsidRDefault="002C7993" w:rsidP="002C7993">
      <w:pPr>
        <w:pStyle w:val="Default"/>
        <w:ind w:left="1440"/>
        <w:rPr>
          <w:rFonts w:ascii="Arial" w:hAnsi="Arial" w:cs="Arial"/>
          <w:bCs/>
          <w:sz w:val="22"/>
          <w:szCs w:val="22"/>
        </w:rPr>
      </w:pPr>
      <w:r w:rsidRPr="00723DCB">
        <w:rPr>
          <w:rFonts w:ascii="Arial" w:hAnsi="Arial" w:cs="Arial"/>
          <w:bCs/>
          <w:sz w:val="22"/>
          <w:szCs w:val="22"/>
        </w:rPr>
        <w:lastRenderedPageBreak/>
        <w:t xml:space="preserve">A. </w:t>
      </w:r>
      <w:r w:rsidRPr="009F3817">
        <w:rPr>
          <w:rFonts w:ascii="Arial" w:hAnsi="Arial" w:cs="Arial"/>
          <w:bCs/>
          <w:sz w:val="22"/>
          <w:szCs w:val="22"/>
        </w:rPr>
        <w:t xml:space="preserve">Purpose - include a brief history and description of the program and </w:t>
      </w:r>
      <w:r w:rsidR="00E75ABE" w:rsidRPr="009F3817">
        <w:rPr>
          <w:rFonts w:ascii="Arial" w:hAnsi="Arial" w:cs="Arial"/>
          <w:bCs/>
          <w:sz w:val="22"/>
          <w:szCs w:val="22"/>
        </w:rPr>
        <w:t>its</w:t>
      </w:r>
      <w:r w:rsidRPr="009F3817">
        <w:rPr>
          <w:rFonts w:ascii="Arial" w:hAnsi="Arial" w:cs="Arial"/>
          <w:bCs/>
          <w:sz w:val="22"/>
          <w:szCs w:val="22"/>
        </w:rPr>
        <w:t xml:space="preserve"> alignment with institutional mission and goals;</w:t>
      </w:r>
      <w:r>
        <w:rPr>
          <w:rFonts w:ascii="Arial" w:hAnsi="Arial" w:cs="Arial"/>
          <w:bCs/>
          <w:i/>
          <w:color w:val="FF0000"/>
          <w:sz w:val="22"/>
          <w:szCs w:val="22"/>
        </w:rPr>
        <w:t xml:space="preserve"> present summary information on how the program supports each of the five pillars in the 2019-23 UT Tyler Strategic Plan</w:t>
      </w:r>
      <w:r w:rsidRPr="009F3817">
        <w:rPr>
          <w:rFonts w:ascii="Arial" w:hAnsi="Arial" w:cs="Arial"/>
          <w:bCs/>
          <w:sz w:val="22"/>
          <w:szCs w:val="22"/>
        </w:rPr>
        <w:t xml:space="preserve"> </w:t>
      </w:r>
      <w:r w:rsidRPr="002E5CE2">
        <w:rPr>
          <w:rFonts w:ascii="Arial" w:hAnsi="Arial" w:cs="Arial"/>
          <w:bCs/>
          <w:strike/>
          <w:sz w:val="22"/>
          <w:szCs w:val="22"/>
        </w:rPr>
        <w:t>showcase degree program strengths and awards, identify concerns</w:t>
      </w:r>
      <w:r w:rsidRPr="009F3817">
        <w:rPr>
          <w:rFonts w:ascii="Arial" w:hAnsi="Arial" w:cs="Arial"/>
          <w:bCs/>
          <w:sz w:val="22"/>
          <w:szCs w:val="22"/>
        </w:rPr>
        <w:t xml:space="preserve">, and outline the future vision. </w:t>
      </w:r>
    </w:p>
    <w:p w14:paraId="467307F8" w14:textId="77777777" w:rsidR="002C7993" w:rsidRPr="009F3817" w:rsidRDefault="002C7993" w:rsidP="002C7993">
      <w:pPr>
        <w:pStyle w:val="Default"/>
        <w:ind w:firstLine="720"/>
        <w:rPr>
          <w:rFonts w:ascii="Arial" w:hAnsi="Arial" w:cs="Arial"/>
          <w:b/>
          <w:bCs/>
          <w:sz w:val="20"/>
          <w:szCs w:val="22"/>
        </w:rPr>
      </w:pPr>
      <w:r w:rsidRPr="009F3817">
        <w:rPr>
          <w:rFonts w:ascii="Arial" w:hAnsi="Arial" w:cs="Arial"/>
          <w:bCs/>
          <w:sz w:val="22"/>
          <w:szCs w:val="22"/>
        </w:rPr>
        <w:tab/>
      </w:r>
      <w:r w:rsidRPr="009F3817">
        <w:rPr>
          <w:rFonts w:ascii="Arial" w:hAnsi="Arial" w:cs="Arial"/>
          <w:b/>
          <w:bCs/>
          <w:sz w:val="20"/>
          <w:szCs w:val="22"/>
        </w:rPr>
        <w:t>Resource: Program</w:t>
      </w:r>
    </w:p>
    <w:p w14:paraId="46059228" w14:textId="77777777" w:rsidR="002C7993" w:rsidRDefault="002C7993" w:rsidP="002C7993">
      <w:pPr>
        <w:pStyle w:val="Default"/>
        <w:ind w:firstLine="720"/>
        <w:rPr>
          <w:rFonts w:ascii="Arial" w:hAnsi="Arial" w:cs="Arial"/>
          <w:b/>
          <w:bCs/>
          <w:sz w:val="20"/>
          <w:szCs w:val="22"/>
        </w:rPr>
      </w:pPr>
      <w:r w:rsidRPr="009F3817">
        <w:rPr>
          <w:rFonts w:ascii="Arial" w:hAnsi="Arial" w:cs="Arial"/>
          <w:b/>
          <w:bCs/>
          <w:sz w:val="20"/>
          <w:szCs w:val="22"/>
        </w:rPr>
        <w:tab/>
        <w:t>Request Time: N/A</w:t>
      </w:r>
    </w:p>
    <w:p w14:paraId="5EC4D2EF" w14:textId="77777777" w:rsidR="002C7993" w:rsidRPr="00723DCB" w:rsidRDefault="002C7993" w:rsidP="002C7993">
      <w:pPr>
        <w:pStyle w:val="Default"/>
        <w:ind w:firstLine="720"/>
        <w:rPr>
          <w:rFonts w:ascii="Arial" w:hAnsi="Arial" w:cs="Arial"/>
          <w:b/>
          <w:bCs/>
          <w:sz w:val="22"/>
          <w:szCs w:val="22"/>
        </w:rPr>
      </w:pPr>
    </w:p>
    <w:p w14:paraId="3FDD02D3" w14:textId="77777777" w:rsidR="002C7993" w:rsidRPr="00723DCB" w:rsidRDefault="002C7993" w:rsidP="002C7993">
      <w:pPr>
        <w:pStyle w:val="Default"/>
        <w:ind w:left="1440"/>
        <w:rPr>
          <w:rFonts w:ascii="Arial" w:hAnsi="Arial" w:cs="Arial"/>
          <w:bCs/>
          <w:sz w:val="22"/>
          <w:szCs w:val="22"/>
        </w:rPr>
      </w:pPr>
      <w:r w:rsidRPr="00723DCB">
        <w:rPr>
          <w:rFonts w:ascii="Arial" w:hAnsi="Arial" w:cs="Arial"/>
          <w:bCs/>
          <w:sz w:val="22"/>
          <w:szCs w:val="22"/>
        </w:rPr>
        <w:t xml:space="preserve">B. </w:t>
      </w:r>
      <w:r>
        <w:rPr>
          <w:rFonts w:ascii="Arial" w:hAnsi="Arial" w:cs="Arial"/>
          <w:bCs/>
          <w:sz w:val="22"/>
          <w:szCs w:val="22"/>
        </w:rPr>
        <w:t>Program</w:t>
      </w:r>
      <w:r w:rsidRPr="00723DCB">
        <w:rPr>
          <w:rFonts w:ascii="Arial" w:hAnsi="Arial" w:cs="Arial"/>
          <w:bCs/>
          <w:sz w:val="22"/>
          <w:szCs w:val="22"/>
        </w:rPr>
        <w:t xml:space="preserve"> Strategic Plan - </w:t>
      </w:r>
      <w:r>
        <w:rPr>
          <w:rFonts w:ascii="Arial" w:hAnsi="Arial" w:cs="Arial"/>
          <w:bCs/>
          <w:sz w:val="22"/>
          <w:szCs w:val="22"/>
        </w:rPr>
        <w:t>describe</w:t>
      </w:r>
      <w:r w:rsidRPr="00723DCB">
        <w:rPr>
          <w:rFonts w:ascii="Arial" w:hAnsi="Arial" w:cs="Arial"/>
          <w:bCs/>
          <w:sz w:val="22"/>
          <w:szCs w:val="22"/>
        </w:rPr>
        <w:t xml:space="preserve"> plans for </w:t>
      </w:r>
      <w:r>
        <w:rPr>
          <w:rFonts w:ascii="Arial" w:hAnsi="Arial" w:cs="Arial"/>
          <w:bCs/>
          <w:sz w:val="22"/>
          <w:szCs w:val="22"/>
        </w:rPr>
        <w:t xml:space="preserve">short-term and mid-range </w:t>
      </w:r>
      <w:r w:rsidRPr="00723DCB">
        <w:rPr>
          <w:rFonts w:ascii="Arial" w:hAnsi="Arial" w:cs="Arial"/>
          <w:bCs/>
          <w:sz w:val="22"/>
          <w:szCs w:val="22"/>
        </w:rPr>
        <w:t xml:space="preserve">planning </w:t>
      </w:r>
      <w:r w:rsidRPr="000F1E4E">
        <w:rPr>
          <w:rFonts w:ascii="Arial" w:hAnsi="Arial" w:cs="Arial"/>
          <w:bCs/>
          <w:sz w:val="22"/>
          <w:szCs w:val="22"/>
        </w:rPr>
        <w:t>1-3</w:t>
      </w:r>
      <w:r w:rsidRPr="00723DCB">
        <w:rPr>
          <w:rFonts w:ascii="Arial" w:hAnsi="Arial" w:cs="Arial"/>
          <w:bCs/>
          <w:sz w:val="22"/>
          <w:szCs w:val="22"/>
        </w:rPr>
        <w:t xml:space="preserve"> years out </w:t>
      </w:r>
    </w:p>
    <w:p w14:paraId="1CC236FD" w14:textId="77777777" w:rsidR="002C7993" w:rsidRPr="007A290E" w:rsidRDefault="002C7993" w:rsidP="002C7993">
      <w:pPr>
        <w:pStyle w:val="Default"/>
        <w:ind w:left="720"/>
        <w:rPr>
          <w:rFonts w:ascii="Arial" w:hAnsi="Arial" w:cs="Arial"/>
          <w:b/>
          <w:bCs/>
          <w:sz w:val="20"/>
          <w:szCs w:val="22"/>
        </w:rPr>
      </w:pPr>
      <w:r w:rsidRPr="00723DCB">
        <w:rPr>
          <w:rFonts w:ascii="Arial" w:hAnsi="Arial" w:cs="Arial"/>
          <w:bCs/>
          <w:sz w:val="22"/>
          <w:szCs w:val="22"/>
        </w:rPr>
        <w:tab/>
      </w:r>
      <w:r w:rsidRPr="007A290E">
        <w:rPr>
          <w:rFonts w:ascii="Arial" w:hAnsi="Arial" w:cs="Arial"/>
          <w:b/>
          <w:bCs/>
          <w:sz w:val="20"/>
          <w:szCs w:val="22"/>
        </w:rPr>
        <w:t>Resource:  Program</w:t>
      </w:r>
    </w:p>
    <w:p w14:paraId="61C455AF" w14:textId="77777777" w:rsidR="002C7993" w:rsidRDefault="002C7993" w:rsidP="002C7993">
      <w:pPr>
        <w:pStyle w:val="Default"/>
        <w:ind w:left="720"/>
        <w:rPr>
          <w:rFonts w:ascii="Arial" w:hAnsi="Arial" w:cs="Arial"/>
          <w:b/>
          <w:bCs/>
          <w:sz w:val="20"/>
          <w:szCs w:val="22"/>
        </w:rPr>
      </w:pPr>
      <w:r w:rsidRPr="007A290E">
        <w:rPr>
          <w:rFonts w:ascii="Arial" w:hAnsi="Arial" w:cs="Arial"/>
          <w:b/>
          <w:bCs/>
          <w:sz w:val="20"/>
          <w:szCs w:val="22"/>
        </w:rPr>
        <w:tab/>
        <w:t>Request Time: N/A</w:t>
      </w:r>
    </w:p>
    <w:p w14:paraId="4418093E" w14:textId="77777777" w:rsidR="002C7993" w:rsidRDefault="002C7993" w:rsidP="002C7993">
      <w:pPr>
        <w:pStyle w:val="Default"/>
        <w:ind w:left="720"/>
        <w:rPr>
          <w:rFonts w:ascii="Arial" w:hAnsi="Arial" w:cs="Arial"/>
          <w:b/>
          <w:bCs/>
          <w:sz w:val="20"/>
          <w:szCs w:val="22"/>
        </w:rPr>
      </w:pPr>
    </w:p>
    <w:p w14:paraId="6927743A" w14:textId="77777777" w:rsidR="002C7993" w:rsidRPr="002C7993" w:rsidRDefault="002C7993" w:rsidP="002C7993">
      <w:pPr>
        <w:pStyle w:val="Heading2"/>
        <w:spacing w:before="0"/>
        <w:ind w:left="1440"/>
        <w:rPr>
          <w:rFonts w:ascii="Arial" w:hAnsi="Arial" w:cs="Arial"/>
          <w:b/>
          <w:i/>
          <w:color w:val="000000" w:themeColor="text1"/>
          <w:sz w:val="22"/>
          <w:szCs w:val="22"/>
        </w:rPr>
      </w:pPr>
      <w:r w:rsidRPr="002C7993">
        <w:rPr>
          <w:rFonts w:ascii="Arial" w:hAnsi="Arial" w:cs="Arial"/>
          <w:color w:val="000000" w:themeColor="text1"/>
          <w:sz w:val="22"/>
          <w:szCs w:val="22"/>
        </w:rPr>
        <w:t>C. Table Summary of Program Curriculum and duration in comparison with peer programs (stated fixed time to degree based on fall semester enrollment) for last 3 years</w:t>
      </w:r>
    </w:p>
    <w:p w14:paraId="29A2B3B5" w14:textId="77777777" w:rsidR="002C7993" w:rsidRPr="002C7993" w:rsidRDefault="002C7993" w:rsidP="002C7993">
      <w:pPr>
        <w:pStyle w:val="Default"/>
        <w:ind w:left="720" w:firstLine="720"/>
        <w:rPr>
          <w:rFonts w:ascii="Arial" w:hAnsi="Arial" w:cs="Arial"/>
          <w:b/>
          <w:bCs/>
          <w:sz w:val="20"/>
          <w:szCs w:val="22"/>
        </w:rPr>
      </w:pPr>
      <w:r w:rsidRPr="002C7993">
        <w:rPr>
          <w:rFonts w:ascii="Arial" w:hAnsi="Arial" w:cs="Arial"/>
          <w:b/>
          <w:bCs/>
          <w:sz w:val="20"/>
          <w:szCs w:val="22"/>
        </w:rPr>
        <w:t>Resource: Program</w:t>
      </w:r>
    </w:p>
    <w:p w14:paraId="61D4EA0A" w14:textId="6A8761B8" w:rsidR="002C7993" w:rsidRPr="002C7993" w:rsidRDefault="002C7993" w:rsidP="002C7993">
      <w:pPr>
        <w:pStyle w:val="Default"/>
        <w:ind w:firstLine="720"/>
        <w:rPr>
          <w:rFonts w:ascii="Arial" w:hAnsi="Arial" w:cs="Arial"/>
          <w:b/>
          <w:bCs/>
          <w:sz w:val="20"/>
          <w:szCs w:val="22"/>
        </w:rPr>
      </w:pPr>
      <w:r w:rsidRPr="002C7993">
        <w:rPr>
          <w:rFonts w:ascii="Arial" w:hAnsi="Arial" w:cs="Arial"/>
          <w:b/>
          <w:bCs/>
          <w:sz w:val="20"/>
          <w:szCs w:val="22"/>
        </w:rPr>
        <w:tab/>
        <w:t>Request Time: N/A</w:t>
      </w:r>
    </w:p>
    <w:p w14:paraId="3CE9DAD2" w14:textId="77777777" w:rsidR="002C7993" w:rsidRDefault="002C7993" w:rsidP="00E05201">
      <w:pPr>
        <w:spacing w:after="120"/>
        <w:rPr>
          <w:rFonts w:asciiTheme="minorHAnsi" w:hAnsiTheme="minorHAnsi"/>
          <w:b/>
          <w:color w:val="FF0000"/>
          <w:sz w:val="20"/>
          <w:szCs w:val="20"/>
        </w:rPr>
      </w:pPr>
    </w:p>
    <w:sectPr w:rsidR="002C799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8CFC" w14:textId="77777777" w:rsidR="004F08D3" w:rsidRDefault="004F08D3" w:rsidP="003B726E">
      <w:r>
        <w:separator/>
      </w:r>
    </w:p>
  </w:endnote>
  <w:endnote w:type="continuationSeparator" w:id="0">
    <w:p w14:paraId="08713E74" w14:textId="77777777" w:rsidR="004F08D3" w:rsidRDefault="004F08D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4443F37D" w14:textId="77777777" w:rsidR="001972F1" w:rsidRDefault="001972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0D893" w14:textId="77777777" w:rsidR="001972F1" w:rsidRDefault="0019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18B5" w14:textId="77777777" w:rsidR="004F08D3" w:rsidRDefault="004F08D3" w:rsidP="003B726E">
      <w:r>
        <w:separator/>
      </w:r>
    </w:p>
  </w:footnote>
  <w:footnote w:type="continuationSeparator" w:id="0">
    <w:p w14:paraId="441DD1E6" w14:textId="77777777" w:rsidR="004F08D3" w:rsidRDefault="004F08D3"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F29" w14:textId="77777777" w:rsidR="001972F1" w:rsidRPr="008E0DF2" w:rsidRDefault="001972F1"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6192" behindDoc="1" locked="0" layoutInCell="1" allowOverlap="0" wp14:anchorId="5ECB0EC9" wp14:editId="6B6264BD">
              <wp:simplePos x="0" y="0"/>
              <wp:positionH relativeFrom="margin">
                <wp:posOffset>-219075</wp:posOffset>
              </wp:positionH>
              <wp:positionV relativeFrom="page">
                <wp:posOffset>314325</wp:posOffset>
              </wp:positionV>
              <wp:extent cx="7315200" cy="71120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711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6F35558F"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0F5F92">
                            <w:rPr>
                              <w:rFonts w:asciiTheme="minorHAnsi" w:hAnsiTheme="minorHAnsi"/>
                              <w:color w:val="FFFFFF" w:themeColor="background1"/>
                            </w:rPr>
                            <w:t>April 12</w:t>
                          </w:r>
                          <w:r>
                            <w:rPr>
                              <w:rFonts w:asciiTheme="minorHAnsi" w:hAnsiTheme="minorHAnsi"/>
                              <w:color w:val="FFFFFF" w:themeColor="background1"/>
                            </w:rPr>
                            <w:t>,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26" style="position:absolute;margin-left:-17.25pt;margin-top:24.75pt;width:8in;height:56pt;z-index:-25166028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" o:allowoverlap="f" fillcolor="#4f81bd [3204]" stroked="f" strokeweight="2pt">
              <v:textbox style="mso-fit-shape-to-text:t">
                <w:txbxContent>
                  <w:p w14:paraId="23805E0B" w14:textId="6F35558F" w:rsidR="001972F1" w:rsidRPr="008C415C" w:rsidRDefault="001972F1"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0F5F92">
                      <w:rPr>
                        <w:rFonts w:asciiTheme="minorHAnsi" w:hAnsiTheme="minorHAnsi"/>
                        <w:color w:val="FFFFFF" w:themeColor="background1"/>
                      </w:rPr>
                      <w:t>April 12</w:t>
                    </w:r>
                    <w:r>
                      <w:rPr>
                        <w:rFonts w:asciiTheme="minorHAnsi" w:hAnsiTheme="minorHAnsi"/>
                        <w:color w:val="FFFFFF" w:themeColor="background1"/>
                      </w:rPr>
                      <w:t>, 2019,</w:t>
                    </w:r>
                    <w:r w:rsidRPr="008C415C">
                      <w:rPr>
                        <w:rFonts w:asciiTheme="minorHAnsi" w:hAnsiTheme="minorHAnsi"/>
                        <w:color w:val="FFFFFF" w:themeColor="background1"/>
                      </w:rPr>
                      <w:t xml:space="preserve"> 1:00-3:00 pm</w:t>
                    </w:r>
                  </w:p>
                  <w:p w14:paraId="0EA49A4D" w14:textId="77777777" w:rsidR="001972F1" w:rsidRPr="005D326F" w:rsidRDefault="001972F1"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3FE9" w14:textId="1F9B2C09" w:rsidR="00590AFB" w:rsidRDefault="00E75ABE"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4FACE4D0" wp14:editId="18448EFC">
              <wp:simplePos x="0" y="0"/>
              <wp:positionH relativeFrom="margin">
                <wp:posOffset>875260</wp:posOffset>
              </wp:positionH>
              <wp:positionV relativeFrom="page">
                <wp:posOffset>305151</wp:posOffset>
              </wp:positionV>
              <wp:extent cx="7175500" cy="76263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175500" cy="7626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1E843" w14:textId="77777777" w:rsidR="00E75ABE" w:rsidRPr="008C415C" w:rsidRDefault="00E75ABE" w:rsidP="00E75ABE">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April 12, 2019,</w:t>
                          </w:r>
                          <w:r w:rsidRPr="008C415C">
                            <w:rPr>
                              <w:rFonts w:asciiTheme="minorHAnsi" w:hAnsiTheme="minorHAnsi"/>
                              <w:color w:val="FFFFFF" w:themeColor="background1"/>
                            </w:rPr>
                            <w:t xml:space="preserve"> 1:00-3:00 pm</w:t>
                          </w:r>
                        </w:p>
                        <w:p w14:paraId="41E81EFE" w14:textId="77777777" w:rsidR="00E75ABE" w:rsidRPr="005D326F" w:rsidRDefault="00E75ABE" w:rsidP="00E75ABE">
                          <w:pPr>
                            <w:pStyle w:val="Header"/>
                            <w:jc w:val="center"/>
                            <w:rPr>
                              <w:caps/>
                              <w:color w:val="FFFFFF" w:themeColor="background1"/>
                              <w:sz w:val="52"/>
                            </w:rPr>
                          </w:pPr>
                          <w:r>
                            <w:rPr>
                              <w:rFonts w:asciiTheme="minorHAnsi" w:hAnsiTheme="minorHAnsi"/>
                              <w:sz w:val="52"/>
                            </w:rPr>
                            <w:t>AGENDA</w:t>
                          </w:r>
                        </w:p>
                        <w:p w14:paraId="00F9C926" w14:textId="77777777" w:rsidR="00E75ABE" w:rsidRDefault="00E75ABE" w:rsidP="00E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ACE4D0" id="Rectangle 2" o:spid="_x0000_s1027" style="position:absolute;margin-left:68.9pt;margin-top:24.05pt;width:565pt;height:6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" o:allowoverlap="f" fillcolor="#4f81bd [3204]" stroked="f" strokeweight="2pt">
              <v:textbox>
                <w:txbxContent>
                  <w:p w14:paraId="1971E843" w14:textId="77777777" w:rsidR="00E75ABE" w:rsidRPr="008C415C" w:rsidRDefault="00E75ABE" w:rsidP="00E75ABE">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April 12, 2019,</w:t>
                    </w:r>
                    <w:r w:rsidRPr="008C415C">
                      <w:rPr>
                        <w:rFonts w:asciiTheme="minorHAnsi" w:hAnsiTheme="minorHAnsi"/>
                        <w:color w:val="FFFFFF" w:themeColor="background1"/>
                      </w:rPr>
                      <w:t xml:space="preserve"> 1:00-3:00 pm</w:t>
                    </w:r>
                  </w:p>
                  <w:p w14:paraId="41E81EFE" w14:textId="77777777" w:rsidR="00E75ABE" w:rsidRPr="005D326F" w:rsidRDefault="00E75ABE" w:rsidP="00E75ABE">
                    <w:pPr>
                      <w:pStyle w:val="Header"/>
                      <w:jc w:val="center"/>
                      <w:rPr>
                        <w:caps/>
                        <w:color w:val="FFFFFF" w:themeColor="background1"/>
                        <w:sz w:val="52"/>
                      </w:rPr>
                    </w:pPr>
                    <w:r>
                      <w:rPr>
                        <w:rFonts w:asciiTheme="minorHAnsi" w:hAnsiTheme="minorHAnsi"/>
                        <w:sz w:val="52"/>
                      </w:rPr>
                      <w:t>AGENDA</w:t>
                    </w:r>
                  </w:p>
                  <w:p w14:paraId="00F9C926" w14:textId="77777777" w:rsidR="00E75ABE" w:rsidRDefault="00E75ABE" w:rsidP="00E75ABE">
                    <w:pPr>
                      <w:jc w:val="center"/>
                    </w:pPr>
                  </w:p>
                </w:txbxContent>
              </v:textbox>
              <w10:wrap type="square" anchorx="margin" anchory="page"/>
            </v:rect>
          </w:pict>
        </mc:Fallback>
      </mc:AlternateContent>
    </w:r>
  </w:p>
  <w:p w14:paraId="5CAA1AF9" w14:textId="6C7A0192" w:rsidR="00590AFB" w:rsidRDefault="00590AFB" w:rsidP="00E75ABE">
    <w:pPr>
      <w:pStyle w:val="Header"/>
      <w:tabs>
        <w:tab w:val="clear" w:pos="8640"/>
        <w:tab w:val="left" w:pos="4320"/>
      </w:tabs>
      <w:rPr>
        <w:rFonts w:asciiTheme="minorHAnsi" w:hAnsiTheme="minorHAnsi"/>
      </w:rPr>
    </w:pPr>
  </w:p>
  <w:p w14:paraId="2CC67057" w14:textId="77777777" w:rsidR="00590AFB" w:rsidRDefault="00590AFB" w:rsidP="00C77A0A">
    <w:pPr>
      <w:pStyle w:val="Header"/>
      <w:rPr>
        <w:rFonts w:asciiTheme="minorHAnsi" w:hAnsiTheme="minorHAnsi"/>
      </w:rPr>
    </w:pPr>
  </w:p>
  <w:p w14:paraId="0339B3A7" w14:textId="77777777" w:rsidR="00590AFB" w:rsidRDefault="00590AFB" w:rsidP="00C77A0A">
    <w:pPr>
      <w:pStyle w:val="Header"/>
      <w:rPr>
        <w:rFonts w:asciiTheme="minorHAnsi" w:hAnsiTheme="minorHAnsi"/>
      </w:rPr>
    </w:pPr>
  </w:p>
  <w:p w14:paraId="17D1F28D" w14:textId="7BFEDAC8" w:rsidR="001972F1" w:rsidRPr="008E0DF2" w:rsidRDefault="001972F1" w:rsidP="00C77A0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F02C" w14:textId="37B7E9AB" w:rsidR="00E75ABE" w:rsidRPr="008E0DF2" w:rsidRDefault="00E75ABE"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4E1216C4" wp14:editId="36C67870">
              <wp:simplePos x="0" y="0"/>
              <wp:positionH relativeFrom="margin">
                <wp:posOffset>-505514</wp:posOffset>
              </wp:positionH>
              <wp:positionV relativeFrom="page">
                <wp:posOffset>497461</wp:posOffset>
              </wp:positionV>
              <wp:extent cx="7175500" cy="76263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175500" cy="7626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521A0" w14:textId="77777777" w:rsidR="00E75ABE" w:rsidRPr="008C415C" w:rsidRDefault="00E75ABE" w:rsidP="00E75ABE">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April 12, 2019,</w:t>
                          </w:r>
                          <w:r w:rsidRPr="008C415C">
                            <w:rPr>
                              <w:rFonts w:asciiTheme="minorHAnsi" w:hAnsiTheme="minorHAnsi"/>
                              <w:color w:val="FFFFFF" w:themeColor="background1"/>
                            </w:rPr>
                            <w:t xml:space="preserve"> 1:00-3:00 pm</w:t>
                          </w:r>
                        </w:p>
                        <w:p w14:paraId="3D17AE1F" w14:textId="77777777" w:rsidR="00E75ABE" w:rsidRPr="005D326F" w:rsidRDefault="00E75ABE" w:rsidP="00E75ABE">
                          <w:pPr>
                            <w:pStyle w:val="Header"/>
                            <w:jc w:val="center"/>
                            <w:rPr>
                              <w:caps/>
                              <w:color w:val="FFFFFF" w:themeColor="background1"/>
                              <w:sz w:val="52"/>
                            </w:rPr>
                          </w:pPr>
                          <w:r>
                            <w:rPr>
                              <w:rFonts w:asciiTheme="minorHAnsi" w:hAnsiTheme="minorHAnsi"/>
                              <w:sz w:val="52"/>
                            </w:rPr>
                            <w:t>AGENDA</w:t>
                          </w:r>
                        </w:p>
                        <w:p w14:paraId="507FC18A" w14:textId="77777777" w:rsidR="00E75ABE" w:rsidRDefault="00E75ABE" w:rsidP="00E75A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1216C4" id="Rectangle 1" o:spid="_x0000_s1028" style="position:absolute;margin-left:-39.8pt;margin-top:39.15pt;width:565pt;height:60.0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" o:allowoverlap="f" fillcolor="#4f81bd [3204]" stroked="f" strokeweight="2pt">
              <v:textbox>
                <w:txbxContent>
                  <w:p w14:paraId="1EF521A0" w14:textId="77777777" w:rsidR="00E75ABE" w:rsidRPr="008C415C" w:rsidRDefault="00E75ABE" w:rsidP="00E75ABE">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Pr>
                        <w:rFonts w:asciiTheme="minorHAnsi" w:hAnsiTheme="minorHAnsi"/>
                        <w:color w:val="FFFFFF" w:themeColor="background1"/>
                      </w:rPr>
                      <w:t>April 12, 2019,</w:t>
                    </w:r>
                    <w:r w:rsidRPr="008C415C">
                      <w:rPr>
                        <w:rFonts w:asciiTheme="minorHAnsi" w:hAnsiTheme="minorHAnsi"/>
                        <w:color w:val="FFFFFF" w:themeColor="background1"/>
                      </w:rPr>
                      <w:t xml:space="preserve"> 1:00-3:00 pm</w:t>
                    </w:r>
                  </w:p>
                  <w:p w14:paraId="3D17AE1F" w14:textId="77777777" w:rsidR="00E75ABE" w:rsidRPr="005D326F" w:rsidRDefault="00E75ABE" w:rsidP="00E75ABE">
                    <w:pPr>
                      <w:pStyle w:val="Header"/>
                      <w:jc w:val="center"/>
                      <w:rPr>
                        <w:caps/>
                        <w:color w:val="FFFFFF" w:themeColor="background1"/>
                        <w:sz w:val="52"/>
                      </w:rPr>
                    </w:pPr>
                    <w:r>
                      <w:rPr>
                        <w:rFonts w:asciiTheme="minorHAnsi" w:hAnsiTheme="minorHAnsi"/>
                        <w:sz w:val="52"/>
                      </w:rPr>
                      <w:t>AGENDA</w:t>
                    </w:r>
                  </w:p>
                  <w:p w14:paraId="507FC18A" w14:textId="77777777" w:rsidR="00E75ABE" w:rsidRDefault="00E75ABE" w:rsidP="00E75ABE"/>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72039"/>
    <w:multiLevelType w:val="hybridMultilevel"/>
    <w:tmpl w:val="F4029D5A"/>
    <w:lvl w:ilvl="0" w:tplc="2D3EE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514CF"/>
    <w:multiLevelType w:val="hybridMultilevel"/>
    <w:tmpl w:val="FA5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897"/>
    <w:multiLevelType w:val="multilevel"/>
    <w:tmpl w:val="036C9F4A"/>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D30FD"/>
    <w:multiLevelType w:val="hybridMultilevel"/>
    <w:tmpl w:val="E1B0A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D55B0E"/>
    <w:multiLevelType w:val="hybridMultilevel"/>
    <w:tmpl w:val="0960E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0F0C"/>
    <w:multiLevelType w:val="multilevel"/>
    <w:tmpl w:val="06BCA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77DE6"/>
    <w:multiLevelType w:val="hybridMultilevel"/>
    <w:tmpl w:val="819E10FC"/>
    <w:lvl w:ilvl="0" w:tplc="9626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4F6EBC"/>
    <w:multiLevelType w:val="multilevel"/>
    <w:tmpl w:val="BABC5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20A91"/>
    <w:multiLevelType w:val="hybridMultilevel"/>
    <w:tmpl w:val="F6F480DA"/>
    <w:lvl w:ilvl="0" w:tplc="B3E4A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5"/>
  </w:num>
  <w:num w:numId="4">
    <w:abstractNumId w:val="4"/>
  </w:num>
  <w:num w:numId="5">
    <w:abstractNumId w:val="12"/>
  </w:num>
  <w:num w:numId="6">
    <w:abstractNumId w:val="5"/>
  </w:num>
  <w:num w:numId="7">
    <w:abstractNumId w:val="2"/>
  </w:num>
  <w:num w:numId="8">
    <w:abstractNumId w:val="8"/>
  </w:num>
  <w:num w:numId="9">
    <w:abstractNumId w:val="6"/>
  </w:num>
  <w:num w:numId="10">
    <w:abstractNumId w:val="13"/>
  </w:num>
  <w:num w:numId="11">
    <w:abstractNumId w:val="10"/>
  </w:num>
  <w:num w:numId="12">
    <w:abstractNumId w:val="14"/>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79F8"/>
    <w:rsid w:val="00007A32"/>
    <w:rsid w:val="00010CA8"/>
    <w:rsid w:val="000400D2"/>
    <w:rsid w:val="00044FB5"/>
    <w:rsid w:val="0005680D"/>
    <w:rsid w:val="000917DB"/>
    <w:rsid w:val="00091A2B"/>
    <w:rsid w:val="000A741E"/>
    <w:rsid w:val="000B1BA8"/>
    <w:rsid w:val="000B3126"/>
    <w:rsid w:val="000B70E2"/>
    <w:rsid w:val="000C3A57"/>
    <w:rsid w:val="000C6BBC"/>
    <w:rsid w:val="000D0F23"/>
    <w:rsid w:val="000D44D1"/>
    <w:rsid w:val="000D788B"/>
    <w:rsid w:val="000E65C5"/>
    <w:rsid w:val="000F1549"/>
    <w:rsid w:val="000F154A"/>
    <w:rsid w:val="000F5F92"/>
    <w:rsid w:val="00107258"/>
    <w:rsid w:val="00115A60"/>
    <w:rsid w:val="001424C5"/>
    <w:rsid w:val="00147263"/>
    <w:rsid w:val="00151DA0"/>
    <w:rsid w:val="00154AB6"/>
    <w:rsid w:val="00190C7E"/>
    <w:rsid w:val="00195643"/>
    <w:rsid w:val="001972F1"/>
    <w:rsid w:val="001C3E62"/>
    <w:rsid w:val="001E5C19"/>
    <w:rsid w:val="001F449E"/>
    <w:rsid w:val="002023D6"/>
    <w:rsid w:val="00210A79"/>
    <w:rsid w:val="00217E5C"/>
    <w:rsid w:val="002212FE"/>
    <w:rsid w:val="0022374C"/>
    <w:rsid w:val="00226051"/>
    <w:rsid w:val="002312A7"/>
    <w:rsid w:val="00233498"/>
    <w:rsid w:val="002379D1"/>
    <w:rsid w:val="00241787"/>
    <w:rsid w:val="00246220"/>
    <w:rsid w:val="00250CD3"/>
    <w:rsid w:val="00261B2D"/>
    <w:rsid w:val="0026353E"/>
    <w:rsid w:val="00284F17"/>
    <w:rsid w:val="00295C62"/>
    <w:rsid w:val="00296045"/>
    <w:rsid w:val="00296D59"/>
    <w:rsid w:val="002A7873"/>
    <w:rsid w:val="002B317C"/>
    <w:rsid w:val="002B5EF8"/>
    <w:rsid w:val="002B7C80"/>
    <w:rsid w:val="002C233F"/>
    <w:rsid w:val="002C7993"/>
    <w:rsid w:val="002C7A4A"/>
    <w:rsid w:val="002F352D"/>
    <w:rsid w:val="003044C1"/>
    <w:rsid w:val="00307DE8"/>
    <w:rsid w:val="00307F80"/>
    <w:rsid w:val="0031464C"/>
    <w:rsid w:val="00324FF7"/>
    <w:rsid w:val="0032579F"/>
    <w:rsid w:val="00333C19"/>
    <w:rsid w:val="0034407C"/>
    <w:rsid w:val="00364735"/>
    <w:rsid w:val="003701CB"/>
    <w:rsid w:val="003713A1"/>
    <w:rsid w:val="003805EF"/>
    <w:rsid w:val="00385A73"/>
    <w:rsid w:val="00385FE9"/>
    <w:rsid w:val="00387957"/>
    <w:rsid w:val="0039574F"/>
    <w:rsid w:val="003962C2"/>
    <w:rsid w:val="003B276A"/>
    <w:rsid w:val="003B726E"/>
    <w:rsid w:val="003C2364"/>
    <w:rsid w:val="003D2E66"/>
    <w:rsid w:val="003D5088"/>
    <w:rsid w:val="003E08EB"/>
    <w:rsid w:val="003E19CB"/>
    <w:rsid w:val="003E7015"/>
    <w:rsid w:val="003F421C"/>
    <w:rsid w:val="00400BB6"/>
    <w:rsid w:val="00403D4C"/>
    <w:rsid w:val="00414C98"/>
    <w:rsid w:val="004264A1"/>
    <w:rsid w:val="0043101F"/>
    <w:rsid w:val="00433272"/>
    <w:rsid w:val="004441A2"/>
    <w:rsid w:val="004464A1"/>
    <w:rsid w:val="00451052"/>
    <w:rsid w:val="004673C4"/>
    <w:rsid w:val="00477EA9"/>
    <w:rsid w:val="00484F4C"/>
    <w:rsid w:val="00495BC6"/>
    <w:rsid w:val="004B331D"/>
    <w:rsid w:val="004C1902"/>
    <w:rsid w:val="004D0620"/>
    <w:rsid w:val="004E004F"/>
    <w:rsid w:val="004E758F"/>
    <w:rsid w:val="004F08D3"/>
    <w:rsid w:val="004F5A47"/>
    <w:rsid w:val="004F67A3"/>
    <w:rsid w:val="00534C6E"/>
    <w:rsid w:val="005370EB"/>
    <w:rsid w:val="005441A1"/>
    <w:rsid w:val="005518B0"/>
    <w:rsid w:val="0055290B"/>
    <w:rsid w:val="00562675"/>
    <w:rsid w:val="0056338A"/>
    <w:rsid w:val="005766FB"/>
    <w:rsid w:val="00590AFB"/>
    <w:rsid w:val="00591E47"/>
    <w:rsid w:val="005979F0"/>
    <w:rsid w:val="005A00C5"/>
    <w:rsid w:val="005A5346"/>
    <w:rsid w:val="005A5F38"/>
    <w:rsid w:val="005A64CD"/>
    <w:rsid w:val="005B0F13"/>
    <w:rsid w:val="005B2162"/>
    <w:rsid w:val="005B5654"/>
    <w:rsid w:val="005D326F"/>
    <w:rsid w:val="005E0B2E"/>
    <w:rsid w:val="005E3303"/>
    <w:rsid w:val="005E56D5"/>
    <w:rsid w:val="005E6DDC"/>
    <w:rsid w:val="005E752D"/>
    <w:rsid w:val="005F4DB7"/>
    <w:rsid w:val="005F5294"/>
    <w:rsid w:val="005F600F"/>
    <w:rsid w:val="0060023C"/>
    <w:rsid w:val="0060224E"/>
    <w:rsid w:val="00610396"/>
    <w:rsid w:val="00611E3F"/>
    <w:rsid w:val="006128B9"/>
    <w:rsid w:val="006201B2"/>
    <w:rsid w:val="00623F25"/>
    <w:rsid w:val="00650476"/>
    <w:rsid w:val="00651523"/>
    <w:rsid w:val="00667B39"/>
    <w:rsid w:val="006928B7"/>
    <w:rsid w:val="006A17F0"/>
    <w:rsid w:val="006A3709"/>
    <w:rsid w:val="006A78FC"/>
    <w:rsid w:val="006B110E"/>
    <w:rsid w:val="006C07E9"/>
    <w:rsid w:val="006C7DAF"/>
    <w:rsid w:val="006D16A8"/>
    <w:rsid w:val="006D26D1"/>
    <w:rsid w:val="006D7509"/>
    <w:rsid w:val="006F0219"/>
    <w:rsid w:val="00711B9F"/>
    <w:rsid w:val="00731105"/>
    <w:rsid w:val="00737051"/>
    <w:rsid w:val="00740913"/>
    <w:rsid w:val="00743C60"/>
    <w:rsid w:val="0075037C"/>
    <w:rsid w:val="00753D7D"/>
    <w:rsid w:val="00757D10"/>
    <w:rsid w:val="00760997"/>
    <w:rsid w:val="007706F8"/>
    <w:rsid w:val="00782578"/>
    <w:rsid w:val="00787315"/>
    <w:rsid w:val="007932F0"/>
    <w:rsid w:val="007941BE"/>
    <w:rsid w:val="007B5A09"/>
    <w:rsid w:val="007B5F52"/>
    <w:rsid w:val="007B7906"/>
    <w:rsid w:val="007C19DF"/>
    <w:rsid w:val="007C26A7"/>
    <w:rsid w:val="007D7D73"/>
    <w:rsid w:val="007E2280"/>
    <w:rsid w:val="007E4F2E"/>
    <w:rsid w:val="007F0829"/>
    <w:rsid w:val="007F1B1D"/>
    <w:rsid w:val="007F42B1"/>
    <w:rsid w:val="00805FC2"/>
    <w:rsid w:val="00827B4A"/>
    <w:rsid w:val="00832E03"/>
    <w:rsid w:val="00835D5B"/>
    <w:rsid w:val="008430D0"/>
    <w:rsid w:val="008474C1"/>
    <w:rsid w:val="0085088E"/>
    <w:rsid w:val="00853B3A"/>
    <w:rsid w:val="00861970"/>
    <w:rsid w:val="0087685A"/>
    <w:rsid w:val="00887AC5"/>
    <w:rsid w:val="00891527"/>
    <w:rsid w:val="008A70E3"/>
    <w:rsid w:val="008B54AB"/>
    <w:rsid w:val="008C415C"/>
    <w:rsid w:val="008D54BF"/>
    <w:rsid w:val="008D6AFC"/>
    <w:rsid w:val="008E0DF2"/>
    <w:rsid w:val="008E1CE0"/>
    <w:rsid w:val="008E2A8C"/>
    <w:rsid w:val="008F3CE4"/>
    <w:rsid w:val="008F65B6"/>
    <w:rsid w:val="00907C91"/>
    <w:rsid w:val="009135C6"/>
    <w:rsid w:val="00922756"/>
    <w:rsid w:val="009266BB"/>
    <w:rsid w:val="00951270"/>
    <w:rsid w:val="00955E4D"/>
    <w:rsid w:val="00957FDA"/>
    <w:rsid w:val="00973575"/>
    <w:rsid w:val="00981B8E"/>
    <w:rsid w:val="009A3A3D"/>
    <w:rsid w:val="009A3D2B"/>
    <w:rsid w:val="009A46D8"/>
    <w:rsid w:val="009A70F8"/>
    <w:rsid w:val="009B08A6"/>
    <w:rsid w:val="009B2B1D"/>
    <w:rsid w:val="009C421E"/>
    <w:rsid w:val="009F65B8"/>
    <w:rsid w:val="00A047A8"/>
    <w:rsid w:val="00A15DA4"/>
    <w:rsid w:val="00A3306B"/>
    <w:rsid w:val="00A445A8"/>
    <w:rsid w:val="00A47DB6"/>
    <w:rsid w:val="00A50052"/>
    <w:rsid w:val="00A531CE"/>
    <w:rsid w:val="00A5537A"/>
    <w:rsid w:val="00A57CA9"/>
    <w:rsid w:val="00A679EC"/>
    <w:rsid w:val="00A74078"/>
    <w:rsid w:val="00A75997"/>
    <w:rsid w:val="00A77C92"/>
    <w:rsid w:val="00A85CFD"/>
    <w:rsid w:val="00A9515A"/>
    <w:rsid w:val="00AA7AE8"/>
    <w:rsid w:val="00AC171E"/>
    <w:rsid w:val="00AC6A88"/>
    <w:rsid w:val="00AC6FFA"/>
    <w:rsid w:val="00AD0111"/>
    <w:rsid w:val="00AD1EA5"/>
    <w:rsid w:val="00AD2C32"/>
    <w:rsid w:val="00AD535A"/>
    <w:rsid w:val="00AD7099"/>
    <w:rsid w:val="00AE25A2"/>
    <w:rsid w:val="00B01E36"/>
    <w:rsid w:val="00B0585E"/>
    <w:rsid w:val="00B15C7C"/>
    <w:rsid w:val="00B25939"/>
    <w:rsid w:val="00B35606"/>
    <w:rsid w:val="00B37613"/>
    <w:rsid w:val="00B402CA"/>
    <w:rsid w:val="00B52FB4"/>
    <w:rsid w:val="00B61855"/>
    <w:rsid w:val="00B63BA4"/>
    <w:rsid w:val="00B643F9"/>
    <w:rsid w:val="00B77FD1"/>
    <w:rsid w:val="00BC0B76"/>
    <w:rsid w:val="00BC37C3"/>
    <w:rsid w:val="00BC6386"/>
    <w:rsid w:val="00BE5DD0"/>
    <w:rsid w:val="00BE6FCA"/>
    <w:rsid w:val="00BF7C95"/>
    <w:rsid w:val="00C0190A"/>
    <w:rsid w:val="00C2008B"/>
    <w:rsid w:val="00C24678"/>
    <w:rsid w:val="00C304F3"/>
    <w:rsid w:val="00C343AE"/>
    <w:rsid w:val="00C414F8"/>
    <w:rsid w:val="00C41953"/>
    <w:rsid w:val="00C4243D"/>
    <w:rsid w:val="00C450BA"/>
    <w:rsid w:val="00C47B3E"/>
    <w:rsid w:val="00C57E63"/>
    <w:rsid w:val="00C60569"/>
    <w:rsid w:val="00C70896"/>
    <w:rsid w:val="00C74052"/>
    <w:rsid w:val="00C773E0"/>
    <w:rsid w:val="00C77A0A"/>
    <w:rsid w:val="00C81CDC"/>
    <w:rsid w:val="00C910A4"/>
    <w:rsid w:val="00C9299E"/>
    <w:rsid w:val="00C94CF5"/>
    <w:rsid w:val="00CA1F34"/>
    <w:rsid w:val="00CA307C"/>
    <w:rsid w:val="00CA3906"/>
    <w:rsid w:val="00CA6278"/>
    <w:rsid w:val="00CA7FAC"/>
    <w:rsid w:val="00CB057E"/>
    <w:rsid w:val="00CB108B"/>
    <w:rsid w:val="00CC1774"/>
    <w:rsid w:val="00CC3CF6"/>
    <w:rsid w:val="00CE1F83"/>
    <w:rsid w:val="00D04326"/>
    <w:rsid w:val="00D10BE2"/>
    <w:rsid w:val="00D13E66"/>
    <w:rsid w:val="00D27B2F"/>
    <w:rsid w:val="00D63C72"/>
    <w:rsid w:val="00D734A0"/>
    <w:rsid w:val="00D75587"/>
    <w:rsid w:val="00D97074"/>
    <w:rsid w:val="00DB6D3D"/>
    <w:rsid w:val="00DD4CE7"/>
    <w:rsid w:val="00DF421D"/>
    <w:rsid w:val="00E01DD8"/>
    <w:rsid w:val="00E05201"/>
    <w:rsid w:val="00E17DC1"/>
    <w:rsid w:val="00E23A57"/>
    <w:rsid w:val="00E23B29"/>
    <w:rsid w:val="00E3510C"/>
    <w:rsid w:val="00E41BF2"/>
    <w:rsid w:val="00E435A7"/>
    <w:rsid w:val="00E613B0"/>
    <w:rsid w:val="00E74A2A"/>
    <w:rsid w:val="00E75ABE"/>
    <w:rsid w:val="00E75ACB"/>
    <w:rsid w:val="00E82B32"/>
    <w:rsid w:val="00E84B85"/>
    <w:rsid w:val="00EB37D1"/>
    <w:rsid w:val="00ED6479"/>
    <w:rsid w:val="00F340C1"/>
    <w:rsid w:val="00F42C15"/>
    <w:rsid w:val="00F42C25"/>
    <w:rsid w:val="00F52798"/>
    <w:rsid w:val="00F567FD"/>
    <w:rsid w:val="00F7419B"/>
    <w:rsid w:val="00F74217"/>
    <w:rsid w:val="00F80D29"/>
    <w:rsid w:val="00F8518D"/>
    <w:rsid w:val="00F91779"/>
    <w:rsid w:val="00F969CF"/>
    <w:rsid w:val="00F97E5D"/>
    <w:rsid w:val="00FB249A"/>
    <w:rsid w:val="00FB54B4"/>
    <w:rsid w:val="00FB7CDF"/>
    <w:rsid w:val="00FC1D40"/>
    <w:rsid w:val="00FC27CB"/>
    <w:rsid w:val="00FC5D78"/>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62"/>
    <w:rPr>
      <w:rFonts w:ascii="Times New Roman" w:eastAsia="Times New Roman" w:hAnsi="Times New Roman"/>
      <w:sz w:val="24"/>
      <w:szCs w:val="24"/>
    </w:rPr>
  </w:style>
  <w:style w:type="paragraph" w:styleId="Heading1">
    <w:name w:val="heading 1"/>
    <w:basedOn w:val="Normal"/>
    <w:link w:val="Heading1Char"/>
    <w:uiPriority w:val="1"/>
    <w:qFormat/>
    <w:rsid w:val="00B15C7C"/>
    <w:pPr>
      <w:widowControl w:val="0"/>
      <w:outlineLvl w:val="0"/>
    </w:pPr>
    <w:rPr>
      <w:rFonts w:ascii="Verdana" w:eastAsia="Verdana" w:hAnsi="Verdana" w:cstheme="minorBidi"/>
      <w:b/>
      <w:bCs/>
      <w:sz w:val="22"/>
      <w:szCs w:val="22"/>
    </w:rPr>
  </w:style>
  <w:style w:type="paragraph" w:styleId="Heading2">
    <w:name w:val="heading 2"/>
    <w:basedOn w:val="Normal"/>
    <w:next w:val="Normal"/>
    <w:link w:val="Heading2Char"/>
    <w:uiPriority w:val="9"/>
    <w:semiHidden/>
    <w:unhideWhenUsed/>
    <w:qFormat/>
    <w:rsid w:val="00AD53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 w:type="character" w:styleId="Hyperlink">
    <w:name w:val="Hyperlink"/>
    <w:basedOn w:val="DefaultParagraphFont"/>
    <w:uiPriority w:val="99"/>
    <w:unhideWhenUsed/>
    <w:rsid w:val="00667B39"/>
    <w:rPr>
      <w:color w:val="0000FF"/>
      <w:u w:val="single"/>
    </w:rPr>
  </w:style>
  <w:style w:type="character" w:styleId="UnresolvedMention">
    <w:name w:val="Unresolved Mention"/>
    <w:basedOn w:val="DefaultParagraphFont"/>
    <w:uiPriority w:val="99"/>
    <w:semiHidden/>
    <w:unhideWhenUsed/>
    <w:rsid w:val="00E84B85"/>
    <w:rPr>
      <w:color w:val="605E5C"/>
      <w:shd w:val="clear" w:color="auto" w:fill="E1DFDD"/>
    </w:rPr>
  </w:style>
  <w:style w:type="character" w:styleId="FollowedHyperlink">
    <w:name w:val="FollowedHyperlink"/>
    <w:basedOn w:val="DefaultParagraphFont"/>
    <w:uiPriority w:val="99"/>
    <w:semiHidden/>
    <w:unhideWhenUsed/>
    <w:rsid w:val="00FC1D40"/>
    <w:rPr>
      <w:color w:val="800080" w:themeColor="followedHyperlink"/>
      <w:u w:val="single"/>
    </w:rPr>
  </w:style>
  <w:style w:type="character" w:customStyle="1" w:styleId="filtercolumn">
    <w:name w:val="filter_column"/>
    <w:basedOn w:val="DefaultParagraphFont"/>
    <w:rsid w:val="00A57CA9"/>
  </w:style>
  <w:style w:type="character" w:styleId="IntenseEmphasis">
    <w:name w:val="Intense Emphasis"/>
    <w:basedOn w:val="DefaultParagraphFont"/>
    <w:uiPriority w:val="21"/>
    <w:qFormat/>
    <w:rsid w:val="00861970"/>
    <w:rPr>
      <w:i/>
      <w:iCs/>
      <w:color w:val="4F81BD" w:themeColor="accent1"/>
    </w:rPr>
  </w:style>
  <w:style w:type="character" w:styleId="PageNumber">
    <w:name w:val="page number"/>
    <w:basedOn w:val="DefaultParagraphFont"/>
    <w:uiPriority w:val="99"/>
    <w:semiHidden/>
    <w:unhideWhenUsed/>
    <w:rsid w:val="00195643"/>
  </w:style>
  <w:style w:type="character" w:customStyle="1" w:styleId="Heading1Char">
    <w:name w:val="Heading 1 Char"/>
    <w:basedOn w:val="DefaultParagraphFont"/>
    <w:link w:val="Heading1"/>
    <w:uiPriority w:val="1"/>
    <w:rsid w:val="00B15C7C"/>
    <w:rPr>
      <w:rFonts w:ascii="Verdana" w:eastAsia="Verdana" w:hAnsi="Verdana" w:cstheme="minorBidi"/>
      <w:b/>
      <w:bCs/>
      <w:sz w:val="22"/>
      <w:szCs w:val="22"/>
    </w:rPr>
  </w:style>
  <w:style w:type="paragraph" w:styleId="BodyText">
    <w:name w:val="Body Text"/>
    <w:basedOn w:val="Normal"/>
    <w:link w:val="BodyTextChar"/>
    <w:uiPriority w:val="1"/>
    <w:qFormat/>
    <w:rsid w:val="00B15C7C"/>
    <w:pPr>
      <w:widowControl w:val="0"/>
      <w:ind w:left="100"/>
    </w:pPr>
    <w:rPr>
      <w:rFonts w:ascii="Verdana" w:eastAsia="Verdana" w:hAnsi="Verdana" w:cstheme="minorBidi"/>
      <w:sz w:val="22"/>
      <w:szCs w:val="22"/>
    </w:rPr>
  </w:style>
  <w:style w:type="character" w:customStyle="1" w:styleId="BodyTextChar">
    <w:name w:val="Body Text Char"/>
    <w:basedOn w:val="DefaultParagraphFont"/>
    <w:link w:val="BodyText"/>
    <w:uiPriority w:val="1"/>
    <w:rsid w:val="00B15C7C"/>
    <w:rPr>
      <w:rFonts w:ascii="Verdana" w:eastAsia="Verdana" w:hAnsi="Verdana" w:cstheme="minorBidi"/>
      <w:sz w:val="22"/>
      <w:szCs w:val="22"/>
    </w:rPr>
  </w:style>
  <w:style w:type="paragraph" w:customStyle="1" w:styleId="TableParagraph">
    <w:name w:val="Table Paragraph"/>
    <w:basedOn w:val="Normal"/>
    <w:uiPriority w:val="1"/>
    <w:qFormat/>
    <w:rsid w:val="00B15C7C"/>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15C7C"/>
    <w:rPr>
      <w:sz w:val="16"/>
      <w:szCs w:val="16"/>
    </w:rPr>
  </w:style>
  <w:style w:type="paragraph" w:styleId="CommentText">
    <w:name w:val="annotation text"/>
    <w:basedOn w:val="Normal"/>
    <w:link w:val="CommentTextChar"/>
    <w:uiPriority w:val="99"/>
    <w:semiHidden/>
    <w:unhideWhenUsed/>
    <w:rsid w:val="00B15C7C"/>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5C7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15C7C"/>
    <w:rPr>
      <w:b/>
      <w:bCs/>
    </w:rPr>
  </w:style>
  <w:style w:type="character" w:customStyle="1" w:styleId="CommentSubjectChar">
    <w:name w:val="Comment Subject Char"/>
    <w:basedOn w:val="CommentTextChar"/>
    <w:link w:val="CommentSubject"/>
    <w:uiPriority w:val="99"/>
    <w:semiHidden/>
    <w:rsid w:val="00B15C7C"/>
    <w:rPr>
      <w:rFonts w:asciiTheme="minorHAnsi" w:eastAsiaTheme="minorHAnsi" w:hAnsiTheme="minorHAnsi" w:cstheme="minorBidi"/>
      <w:b/>
      <w:bCs/>
    </w:rPr>
  </w:style>
  <w:style w:type="character" w:customStyle="1" w:styleId="Heading2Char">
    <w:name w:val="Heading 2 Char"/>
    <w:basedOn w:val="DefaultParagraphFont"/>
    <w:link w:val="Heading2"/>
    <w:uiPriority w:val="9"/>
    <w:semiHidden/>
    <w:rsid w:val="00AD535A"/>
    <w:rPr>
      <w:rFonts w:asciiTheme="majorHAnsi" w:eastAsiaTheme="majorEastAsia" w:hAnsiTheme="majorHAnsi" w:cstheme="majorBidi"/>
      <w:color w:val="365F91" w:themeColor="accent1" w:themeShade="BF"/>
      <w:sz w:val="26"/>
      <w:szCs w:val="26"/>
    </w:rPr>
  </w:style>
  <w:style w:type="paragraph" w:customStyle="1" w:styleId="Default">
    <w:name w:val="Default"/>
    <w:rsid w:val="00AD535A"/>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779">
      <w:bodyDiv w:val="1"/>
      <w:marLeft w:val="0"/>
      <w:marRight w:val="0"/>
      <w:marTop w:val="0"/>
      <w:marBottom w:val="0"/>
      <w:divBdr>
        <w:top w:val="none" w:sz="0" w:space="0" w:color="auto"/>
        <w:left w:val="none" w:sz="0" w:space="0" w:color="auto"/>
        <w:bottom w:val="none" w:sz="0" w:space="0" w:color="auto"/>
        <w:right w:val="none" w:sz="0" w:space="0" w:color="auto"/>
      </w:divBdr>
    </w:div>
    <w:div w:id="183639135">
      <w:bodyDiv w:val="1"/>
      <w:marLeft w:val="0"/>
      <w:marRight w:val="0"/>
      <w:marTop w:val="0"/>
      <w:marBottom w:val="0"/>
      <w:divBdr>
        <w:top w:val="none" w:sz="0" w:space="0" w:color="auto"/>
        <w:left w:val="none" w:sz="0" w:space="0" w:color="auto"/>
        <w:bottom w:val="none" w:sz="0" w:space="0" w:color="auto"/>
        <w:right w:val="none" w:sz="0" w:space="0" w:color="auto"/>
      </w:divBdr>
    </w:div>
    <w:div w:id="350297629">
      <w:bodyDiv w:val="1"/>
      <w:marLeft w:val="0"/>
      <w:marRight w:val="0"/>
      <w:marTop w:val="0"/>
      <w:marBottom w:val="0"/>
      <w:divBdr>
        <w:top w:val="none" w:sz="0" w:space="0" w:color="auto"/>
        <w:left w:val="none" w:sz="0" w:space="0" w:color="auto"/>
        <w:bottom w:val="none" w:sz="0" w:space="0" w:color="auto"/>
        <w:right w:val="none" w:sz="0" w:space="0" w:color="auto"/>
      </w:divBdr>
    </w:div>
    <w:div w:id="363603321">
      <w:bodyDiv w:val="1"/>
      <w:marLeft w:val="0"/>
      <w:marRight w:val="0"/>
      <w:marTop w:val="0"/>
      <w:marBottom w:val="0"/>
      <w:divBdr>
        <w:top w:val="none" w:sz="0" w:space="0" w:color="auto"/>
        <w:left w:val="none" w:sz="0" w:space="0" w:color="auto"/>
        <w:bottom w:val="none" w:sz="0" w:space="0" w:color="auto"/>
        <w:right w:val="none" w:sz="0" w:space="0" w:color="auto"/>
      </w:divBdr>
    </w:div>
    <w:div w:id="39874540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513736748">
      <w:bodyDiv w:val="1"/>
      <w:marLeft w:val="0"/>
      <w:marRight w:val="0"/>
      <w:marTop w:val="0"/>
      <w:marBottom w:val="0"/>
      <w:divBdr>
        <w:top w:val="none" w:sz="0" w:space="0" w:color="auto"/>
        <w:left w:val="none" w:sz="0" w:space="0" w:color="auto"/>
        <w:bottom w:val="none" w:sz="0" w:space="0" w:color="auto"/>
        <w:right w:val="none" w:sz="0" w:space="0" w:color="auto"/>
      </w:divBdr>
    </w:div>
    <w:div w:id="523985749">
      <w:bodyDiv w:val="1"/>
      <w:marLeft w:val="0"/>
      <w:marRight w:val="0"/>
      <w:marTop w:val="0"/>
      <w:marBottom w:val="0"/>
      <w:divBdr>
        <w:top w:val="none" w:sz="0" w:space="0" w:color="auto"/>
        <w:left w:val="none" w:sz="0" w:space="0" w:color="auto"/>
        <w:bottom w:val="none" w:sz="0" w:space="0" w:color="auto"/>
        <w:right w:val="none" w:sz="0" w:space="0" w:color="auto"/>
      </w:divBdr>
    </w:div>
    <w:div w:id="568154063">
      <w:bodyDiv w:val="1"/>
      <w:marLeft w:val="0"/>
      <w:marRight w:val="0"/>
      <w:marTop w:val="0"/>
      <w:marBottom w:val="0"/>
      <w:divBdr>
        <w:top w:val="none" w:sz="0" w:space="0" w:color="auto"/>
        <w:left w:val="none" w:sz="0" w:space="0" w:color="auto"/>
        <w:bottom w:val="none" w:sz="0" w:space="0" w:color="auto"/>
        <w:right w:val="none" w:sz="0" w:space="0" w:color="auto"/>
      </w:divBdr>
    </w:div>
    <w:div w:id="611669948">
      <w:bodyDiv w:val="1"/>
      <w:marLeft w:val="0"/>
      <w:marRight w:val="0"/>
      <w:marTop w:val="0"/>
      <w:marBottom w:val="0"/>
      <w:divBdr>
        <w:top w:val="none" w:sz="0" w:space="0" w:color="auto"/>
        <w:left w:val="none" w:sz="0" w:space="0" w:color="auto"/>
        <w:bottom w:val="none" w:sz="0" w:space="0" w:color="auto"/>
        <w:right w:val="none" w:sz="0" w:space="0" w:color="auto"/>
      </w:divBdr>
    </w:div>
    <w:div w:id="641663246">
      <w:bodyDiv w:val="1"/>
      <w:marLeft w:val="0"/>
      <w:marRight w:val="0"/>
      <w:marTop w:val="0"/>
      <w:marBottom w:val="0"/>
      <w:divBdr>
        <w:top w:val="none" w:sz="0" w:space="0" w:color="auto"/>
        <w:left w:val="none" w:sz="0" w:space="0" w:color="auto"/>
        <w:bottom w:val="none" w:sz="0" w:space="0" w:color="auto"/>
        <w:right w:val="none" w:sz="0" w:space="0" w:color="auto"/>
      </w:divBdr>
    </w:div>
    <w:div w:id="652412328">
      <w:bodyDiv w:val="1"/>
      <w:marLeft w:val="0"/>
      <w:marRight w:val="0"/>
      <w:marTop w:val="0"/>
      <w:marBottom w:val="0"/>
      <w:divBdr>
        <w:top w:val="none" w:sz="0" w:space="0" w:color="auto"/>
        <w:left w:val="none" w:sz="0" w:space="0" w:color="auto"/>
        <w:bottom w:val="none" w:sz="0" w:space="0" w:color="auto"/>
        <w:right w:val="none" w:sz="0" w:space="0" w:color="auto"/>
      </w:divBdr>
    </w:div>
    <w:div w:id="664548158">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73150966">
      <w:bodyDiv w:val="1"/>
      <w:marLeft w:val="0"/>
      <w:marRight w:val="0"/>
      <w:marTop w:val="0"/>
      <w:marBottom w:val="0"/>
      <w:divBdr>
        <w:top w:val="none" w:sz="0" w:space="0" w:color="auto"/>
        <w:left w:val="none" w:sz="0" w:space="0" w:color="auto"/>
        <w:bottom w:val="none" w:sz="0" w:space="0" w:color="auto"/>
        <w:right w:val="none" w:sz="0" w:space="0" w:color="auto"/>
      </w:divBdr>
    </w:div>
    <w:div w:id="685139230">
      <w:bodyDiv w:val="1"/>
      <w:marLeft w:val="0"/>
      <w:marRight w:val="0"/>
      <w:marTop w:val="0"/>
      <w:marBottom w:val="0"/>
      <w:divBdr>
        <w:top w:val="none" w:sz="0" w:space="0" w:color="auto"/>
        <w:left w:val="none" w:sz="0" w:space="0" w:color="auto"/>
        <w:bottom w:val="none" w:sz="0" w:space="0" w:color="auto"/>
        <w:right w:val="none" w:sz="0" w:space="0" w:color="auto"/>
      </w:divBdr>
    </w:div>
    <w:div w:id="738792442">
      <w:bodyDiv w:val="1"/>
      <w:marLeft w:val="0"/>
      <w:marRight w:val="0"/>
      <w:marTop w:val="0"/>
      <w:marBottom w:val="0"/>
      <w:divBdr>
        <w:top w:val="none" w:sz="0" w:space="0" w:color="auto"/>
        <w:left w:val="none" w:sz="0" w:space="0" w:color="auto"/>
        <w:bottom w:val="none" w:sz="0" w:space="0" w:color="auto"/>
        <w:right w:val="none" w:sz="0" w:space="0" w:color="auto"/>
      </w:divBdr>
    </w:div>
    <w:div w:id="944923606">
      <w:bodyDiv w:val="1"/>
      <w:marLeft w:val="0"/>
      <w:marRight w:val="0"/>
      <w:marTop w:val="0"/>
      <w:marBottom w:val="0"/>
      <w:divBdr>
        <w:top w:val="none" w:sz="0" w:space="0" w:color="auto"/>
        <w:left w:val="none" w:sz="0" w:space="0" w:color="auto"/>
        <w:bottom w:val="none" w:sz="0" w:space="0" w:color="auto"/>
        <w:right w:val="none" w:sz="0" w:space="0" w:color="auto"/>
      </w:divBdr>
    </w:div>
    <w:div w:id="1000086594">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38434865">
      <w:bodyDiv w:val="1"/>
      <w:marLeft w:val="0"/>
      <w:marRight w:val="0"/>
      <w:marTop w:val="0"/>
      <w:marBottom w:val="0"/>
      <w:divBdr>
        <w:top w:val="none" w:sz="0" w:space="0" w:color="auto"/>
        <w:left w:val="none" w:sz="0" w:space="0" w:color="auto"/>
        <w:bottom w:val="none" w:sz="0" w:space="0" w:color="auto"/>
        <w:right w:val="none" w:sz="0" w:space="0" w:color="auto"/>
      </w:divBdr>
    </w:div>
    <w:div w:id="1091465741">
      <w:bodyDiv w:val="1"/>
      <w:marLeft w:val="0"/>
      <w:marRight w:val="0"/>
      <w:marTop w:val="0"/>
      <w:marBottom w:val="0"/>
      <w:divBdr>
        <w:top w:val="none" w:sz="0" w:space="0" w:color="auto"/>
        <w:left w:val="none" w:sz="0" w:space="0" w:color="auto"/>
        <w:bottom w:val="none" w:sz="0" w:space="0" w:color="auto"/>
        <w:right w:val="none" w:sz="0" w:space="0" w:color="auto"/>
      </w:divBdr>
    </w:div>
    <w:div w:id="1126966348">
      <w:bodyDiv w:val="1"/>
      <w:marLeft w:val="0"/>
      <w:marRight w:val="0"/>
      <w:marTop w:val="0"/>
      <w:marBottom w:val="0"/>
      <w:divBdr>
        <w:top w:val="none" w:sz="0" w:space="0" w:color="auto"/>
        <w:left w:val="none" w:sz="0" w:space="0" w:color="auto"/>
        <w:bottom w:val="none" w:sz="0" w:space="0" w:color="auto"/>
        <w:right w:val="none" w:sz="0" w:space="0" w:color="auto"/>
      </w:divBdr>
    </w:div>
    <w:div w:id="1201551327">
      <w:bodyDiv w:val="1"/>
      <w:marLeft w:val="0"/>
      <w:marRight w:val="0"/>
      <w:marTop w:val="0"/>
      <w:marBottom w:val="0"/>
      <w:divBdr>
        <w:top w:val="none" w:sz="0" w:space="0" w:color="auto"/>
        <w:left w:val="none" w:sz="0" w:space="0" w:color="auto"/>
        <w:bottom w:val="none" w:sz="0" w:space="0" w:color="auto"/>
        <w:right w:val="none" w:sz="0" w:space="0" w:color="auto"/>
      </w:divBdr>
    </w:div>
    <w:div w:id="1244798077">
      <w:bodyDiv w:val="1"/>
      <w:marLeft w:val="0"/>
      <w:marRight w:val="0"/>
      <w:marTop w:val="0"/>
      <w:marBottom w:val="0"/>
      <w:divBdr>
        <w:top w:val="none" w:sz="0" w:space="0" w:color="auto"/>
        <w:left w:val="none" w:sz="0" w:space="0" w:color="auto"/>
        <w:bottom w:val="none" w:sz="0" w:space="0" w:color="auto"/>
        <w:right w:val="none" w:sz="0" w:space="0" w:color="auto"/>
      </w:divBdr>
    </w:div>
    <w:div w:id="1297494981">
      <w:bodyDiv w:val="1"/>
      <w:marLeft w:val="0"/>
      <w:marRight w:val="0"/>
      <w:marTop w:val="0"/>
      <w:marBottom w:val="0"/>
      <w:divBdr>
        <w:top w:val="none" w:sz="0" w:space="0" w:color="auto"/>
        <w:left w:val="none" w:sz="0" w:space="0" w:color="auto"/>
        <w:bottom w:val="none" w:sz="0" w:space="0" w:color="auto"/>
        <w:right w:val="none" w:sz="0" w:space="0" w:color="auto"/>
      </w:divBdr>
    </w:div>
    <w:div w:id="1378238284">
      <w:bodyDiv w:val="1"/>
      <w:marLeft w:val="0"/>
      <w:marRight w:val="0"/>
      <w:marTop w:val="0"/>
      <w:marBottom w:val="0"/>
      <w:divBdr>
        <w:top w:val="none" w:sz="0" w:space="0" w:color="auto"/>
        <w:left w:val="none" w:sz="0" w:space="0" w:color="auto"/>
        <w:bottom w:val="none" w:sz="0" w:space="0" w:color="auto"/>
        <w:right w:val="none" w:sz="0" w:space="0" w:color="auto"/>
      </w:divBdr>
    </w:div>
    <w:div w:id="1466847206">
      <w:bodyDiv w:val="1"/>
      <w:marLeft w:val="0"/>
      <w:marRight w:val="0"/>
      <w:marTop w:val="0"/>
      <w:marBottom w:val="0"/>
      <w:divBdr>
        <w:top w:val="none" w:sz="0" w:space="0" w:color="auto"/>
        <w:left w:val="none" w:sz="0" w:space="0" w:color="auto"/>
        <w:bottom w:val="none" w:sz="0" w:space="0" w:color="auto"/>
        <w:right w:val="none" w:sz="0" w:space="0" w:color="auto"/>
      </w:divBdr>
    </w:div>
    <w:div w:id="1647396978">
      <w:bodyDiv w:val="1"/>
      <w:marLeft w:val="0"/>
      <w:marRight w:val="0"/>
      <w:marTop w:val="0"/>
      <w:marBottom w:val="0"/>
      <w:divBdr>
        <w:top w:val="none" w:sz="0" w:space="0" w:color="auto"/>
        <w:left w:val="none" w:sz="0" w:space="0" w:color="auto"/>
        <w:bottom w:val="none" w:sz="0" w:space="0" w:color="auto"/>
        <w:right w:val="none" w:sz="0" w:space="0" w:color="auto"/>
      </w:divBdr>
    </w:div>
    <w:div w:id="1649943212">
      <w:bodyDiv w:val="1"/>
      <w:marLeft w:val="0"/>
      <w:marRight w:val="0"/>
      <w:marTop w:val="0"/>
      <w:marBottom w:val="0"/>
      <w:divBdr>
        <w:top w:val="none" w:sz="0" w:space="0" w:color="auto"/>
        <w:left w:val="none" w:sz="0" w:space="0" w:color="auto"/>
        <w:bottom w:val="none" w:sz="0" w:space="0" w:color="auto"/>
        <w:right w:val="none" w:sz="0" w:space="0" w:color="auto"/>
      </w:divBdr>
    </w:div>
    <w:div w:id="1763523310">
      <w:bodyDiv w:val="1"/>
      <w:marLeft w:val="0"/>
      <w:marRight w:val="0"/>
      <w:marTop w:val="0"/>
      <w:marBottom w:val="0"/>
      <w:divBdr>
        <w:top w:val="none" w:sz="0" w:space="0" w:color="auto"/>
        <w:left w:val="none" w:sz="0" w:space="0" w:color="auto"/>
        <w:bottom w:val="none" w:sz="0" w:space="0" w:color="auto"/>
        <w:right w:val="none" w:sz="0" w:space="0" w:color="auto"/>
      </w:divBdr>
    </w:div>
    <w:div w:id="1785341474">
      <w:bodyDiv w:val="1"/>
      <w:marLeft w:val="0"/>
      <w:marRight w:val="0"/>
      <w:marTop w:val="0"/>
      <w:marBottom w:val="0"/>
      <w:divBdr>
        <w:top w:val="none" w:sz="0" w:space="0" w:color="auto"/>
        <w:left w:val="none" w:sz="0" w:space="0" w:color="auto"/>
        <w:bottom w:val="none" w:sz="0" w:space="0" w:color="auto"/>
        <w:right w:val="none" w:sz="0" w:space="0" w:color="auto"/>
      </w:divBdr>
    </w:div>
    <w:div w:id="1820459576">
      <w:bodyDiv w:val="1"/>
      <w:marLeft w:val="0"/>
      <w:marRight w:val="0"/>
      <w:marTop w:val="0"/>
      <w:marBottom w:val="0"/>
      <w:divBdr>
        <w:top w:val="none" w:sz="0" w:space="0" w:color="auto"/>
        <w:left w:val="none" w:sz="0" w:space="0" w:color="auto"/>
        <w:bottom w:val="none" w:sz="0" w:space="0" w:color="auto"/>
        <w:right w:val="none" w:sz="0" w:space="0" w:color="auto"/>
      </w:divBdr>
    </w:div>
    <w:div w:id="1880242198">
      <w:bodyDiv w:val="1"/>
      <w:marLeft w:val="0"/>
      <w:marRight w:val="0"/>
      <w:marTop w:val="0"/>
      <w:marBottom w:val="0"/>
      <w:divBdr>
        <w:top w:val="none" w:sz="0" w:space="0" w:color="auto"/>
        <w:left w:val="none" w:sz="0" w:space="0" w:color="auto"/>
        <w:bottom w:val="none" w:sz="0" w:space="0" w:color="auto"/>
        <w:right w:val="none" w:sz="0" w:space="0" w:color="auto"/>
      </w:divBdr>
    </w:div>
    <w:div w:id="1888761484">
      <w:bodyDiv w:val="1"/>
      <w:marLeft w:val="0"/>
      <w:marRight w:val="0"/>
      <w:marTop w:val="0"/>
      <w:marBottom w:val="0"/>
      <w:divBdr>
        <w:top w:val="none" w:sz="0" w:space="0" w:color="auto"/>
        <w:left w:val="none" w:sz="0" w:space="0" w:color="auto"/>
        <w:bottom w:val="none" w:sz="0" w:space="0" w:color="auto"/>
        <w:right w:val="none" w:sz="0" w:space="0" w:color="auto"/>
      </w:divBdr>
    </w:div>
    <w:div w:id="1928953186">
      <w:bodyDiv w:val="1"/>
      <w:marLeft w:val="0"/>
      <w:marRight w:val="0"/>
      <w:marTop w:val="0"/>
      <w:marBottom w:val="0"/>
      <w:divBdr>
        <w:top w:val="none" w:sz="0" w:space="0" w:color="auto"/>
        <w:left w:val="none" w:sz="0" w:space="0" w:color="auto"/>
        <w:bottom w:val="none" w:sz="0" w:space="0" w:color="auto"/>
        <w:right w:val="none" w:sz="0" w:space="0" w:color="auto"/>
      </w:divBdr>
    </w:div>
    <w:div w:id="1952929028">
      <w:bodyDiv w:val="1"/>
      <w:marLeft w:val="0"/>
      <w:marRight w:val="0"/>
      <w:marTop w:val="0"/>
      <w:marBottom w:val="0"/>
      <w:divBdr>
        <w:top w:val="none" w:sz="0" w:space="0" w:color="auto"/>
        <w:left w:val="none" w:sz="0" w:space="0" w:color="auto"/>
        <w:bottom w:val="none" w:sz="0" w:space="0" w:color="auto"/>
        <w:right w:val="none" w:sz="0" w:space="0" w:color="auto"/>
      </w:divBdr>
    </w:div>
    <w:div w:id="202227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tyler.smartcatalogiq.com/?sc_itemid=%7b307EF95D-25E9-41EA-BFCA-DDDECAFA7AB4%7d&amp;item=%7b538104EA-4B81-4299-9017-136FF1043450%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tyler.smartcatalogiq.com/?sc_itemid=%7b78820B13-F297-4D8F-9E9B-67056BCD7FF0%7d&amp;item=%7b1E8A0EC2-5CA9-4D38-AAD5-33A531DB0314%7d" TargetMode="External"/><Relationship Id="rId5" Type="http://schemas.openxmlformats.org/officeDocument/2006/relationships/webSettings" Target="webSettings.xml"/><Relationship Id="rId15" Type="http://schemas.openxmlformats.org/officeDocument/2006/relationships/image" Target="cid:image003.png@01D4D056.77E8B010" TargetMode="External"/><Relationship Id="rId10" Type="http://schemas.openxmlformats.org/officeDocument/2006/relationships/hyperlink" Target="https://uttyler.smartcatalogiq.com/?sc_itemid=%7b78820B13-F297-4D8F-9E9B-67056BCD7FF0%7d&amp;item=%7bA6BFD041-40D3-4A91-BD98-6D676ED26A17%7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0E52-C43F-B74D-B308-BFED8B8F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Marsha Matthews</cp:lastModifiedBy>
  <cp:revision>40</cp:revision>
  <cp:lastPrinted>2019-03-07T19:11:00Z</cp:lastPrinted>
  <dcterms:created xsi:type="dcterms:W3CDTF">2019-03-20T20:01:00Z</dcterms:created>
  <dcterms:modified xsi:type="dcterms:W3CDTF">2019-04-08T18:16:00Z</dcterms:modified>
</cp:coreProperties>
</file>