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4770F" w14:textId="77777777" w:rsidR="008F7F2A" w:rsidRPr="007B00AE" w:rsidRDefault="00A741F7" w:rsidP="008F7F2A">
      <w:pPr>
        <w:pStyle w:val="WPNormal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31744937"/>
      <w:r>
        <w:rPr>
          <w:rFonts w:asciiTheme="minorHAnsi" w:hAnsiTheme="minorHAnsi" w:cstheme="minorHAnsi"/>
          <w:b/>
          <w:sz w:val="22"/>
          <w:szCs w:val="22"/>
        </w:rPr>
        <w:t>Acct 3326</w:t>
      </w:r>
    </w:p>
    <w:p w14:paraId="1FB86E11" w14:textId="77777777" w:rsidR="008F7F2A" w:rsidRPr="007B00AE" w:rsidRDefault="00A741F7" w:rsidP="008F7F2A">
      <w:pPr>
        <w:pStyle w:val="WPNormal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Income Tax II</w:t>
      </w:r>
    </w:p>
    <w:p w14:paraId="01634012" w14:textId="4F6E4611" w:rsidR="008F7F2A" w:rsidRPr="007C41D4" w:rsidRDefault="004138F3" w:rsidP="008F7F2A">
      <w:pPr>
        <w:pStyle w:val="WPNormal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5A4D42">
        <w:rPr>
          <w:rFonts w:asciiTheme="minorHAnsi" w:hAnsiTheme="minorHAnsi" w:cstheme="minorHAnsi"/>
          <w:b/>
          <w:sz w:val="22"/>
          <w:szCs w:val="22"/>
        </w:rPr>
        <w:t>ummer</w:t>
      </w:r>
      <w:r>
        <w:rPr>
          <w:rFonts w:asciiTheme="minorHAnsi" w:hAnsiTheme="minorHAnsi" w:cstheme="minorHAnsi"/>
          <w:b/>
          <w:sz w:val="22"/>
          <w:szCs w:val="22"/>
        </w:rPr>
        <w:t xml:space="preserve"> 2020</w:t>
      </w:r>
    </w:p>
    <w:p w14:paraId="562A76CC" w14:textId="3B2C51F6" w:rsidR="008F7F2A" w:rsidRDefault="005A4D42" w:rsidP="008F7F2A">
      <w:pPr>
        <w:pStyle w:val="WPNormal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ONLINE</w:t>
      </w:r>
    </w:p>
    <w:p w14:paraId="361C5783" w14:textId="77777777" w:rsidR="008F7F2A" w:rsidRPr="007B00AE" w:rsidRDefault="008F7F2A" w:rsidP="008F7F2A">
      <w:pPr>
        <w:pStyle w:val="WPNormal"/>
        <w:rPr>
          <w:rFonts w:asciiTheme="minorHAnsi" w:hAnsiTheme="minorHAnsi" w:cstheme="minorHAnsi"/>
          <w:sz w:val="22"/>
          <w:szCs w:val="22"/>
        </w:rPr>
      </w:pPr>
      <w:r w:rsidRPr="007B00AE">
        <w:rPr>
          <w:rFonts w:asciiTheme="minorHAnsi" w:hAnsiTheme="minorHAnsi" w:cstheme="minorHAnsi"/>
          <w:b/>
          <w:sz w:val="22"/>
          <w:szCs w:val="22"/>
        </w:rPr>
        <w:t>Instructor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  <w:t>Jennifer Reynolds</w:t>
      </w:r>
    </w:p>
    <w:p w14:paraId="7856098A" w14:textId="1ACE3B84" w:rsidR="008F7F2A" w:rsidRDefault="00D54A5F" w:rsidP="008F7F2A">
      <w:pPr>
        <w:pStyle w:val="WPNormal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Office </w:t>
      </w:r>
      <w:r w:rsidR="005A4D42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SCOB 350.12</w:t>
      </w:r>
    </w:p>
    <w:p w14:paraId="17B8E1E1" w14:textId="77777777" w:rsidR="008F7F2A" w:rsidRDefault="008F7F2A" w:rsidP="008F7F2A">
      <w:pPr>
        <w:pStyle w:val="WPNormal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137378">
          <w:rPr>
            <w:rStyle w:val="Hyperlink"/>
            <w:rFonts w:asciiTheme="minorHAnsi" w:hAnsiTheme="minorHAnsi" w:cstheme="minorHAnsi"/>
            <w:sz w:val="22"/>
            <w:szCs w:val="22"/>
          </w:rPr>
          <w:t>JREYNOLDS@UTTYLER.EDU</w:t>
        </w:r>
      </w:hyperlink>
    </w:p>
    <w:p w14:paraId="2ABE3A33" w14:textId="77777777" w:rsidR="008F7F2A" w:rsidRPr="007B00AE" w:rsidRDefault="008F7F2A" w:rsidP="008F7F2A">
      <w:pPr>
        <w:pStyle w:val="WPNormal"/>
        <w:ind w:firstLine="720"/>
        <w:rPr>
          <w:rFonts w:asciiTheme="minorHAnsi" w:hAnsiTheme="minorHAnsi" w:cstheme="minorHAnsi"/>
          <w:sz w:val="22"/>
          <w:szCs w:val="22"/>
        </w:rPr>
      </w:pPr>
    </w:p>
    <w:p w14:paraId="5ECB789D" w14:textId="77777777" w:rsidR="009A1656" w:rsidRDefault="008F7F2A" w:rsidP="009A1656">
      <w:pPr>
        <w:pStyle w:val="WPNormal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7B00AE">
        <w:rPr>
          <w:rFonts w:asciiTheme="minorHAnsi" w:hAnsiTheme="minorHAnsi" w:cstheme="minorHAnsi"/>
          <w:b/>
          <w:sz w:val="22"/>
          <w:szCs w:val="22"/>
        </w:rPr>
        <w:t>Office Hours</w:t>
      </w:r>
      <w:r w:rsidR="00A8676E">
        <w:rPr>
          <w:rFonts w:asciiTheme="minorHAnsi" w:hAnsiTheme="minorHAnsi" w:cstheme="minorHAnsi"/>
          <w:sz w:val="22"/>
          <w:szCs w:val="22"/>
        </w:rPr>
        <w:t>:</w:t>
      </w:r>
      <w:r w:rsidR="00A8676E">
        <w:rPr>
          <w:rFonts w:asciiTheme="minorHAnsi" w:hAnsiTheme="minorHAnsi" w:cstheme="minorHAnsi"/>
          <w:sz w:val="22"/>
          <w:szCs w:val="22"/>
        </w:rPr>
        <w:tab/>
      </w:r>
    </w:p>
    <w:p w14:paraId="4B457EC6" w14:textId="58264CD5" w:rsidR="009A1656" w:rsidRDefault="005A4D42" w:rsidP="005A4D42">
      <w:pPr>
        <w:pStyle w:val="WPNormal"/>
        <w:ind w:left="1440" w:hanging="1440"/>
        <w:rPr>
          <w:rFonts w:ascii="Verdana" w:hAnsi="Verdana"/>
          <w:i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b/>
          <w:sz w:val="22"/>
          <w:szCs w:val="22"/>
        </w:rPr>
        <w:t>am always available by email</w:t>
      </w:r>
      <w:r w:rsidRPr="005A4D4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For homework questions, use Cengage to submit a question to the instructor.  That way I can see the exact problem you are working on and help you specifically with what you’ve need help with.  We can also set up a zoom meeting if needed.  </w:t>
      </w:r>
    </w:p>
    <w:p w14:paraId="441D3DE8" w14:textId="77777777" w:rsidR="009A1656" w:rsidRDefault="009A1656" w:rsidP="002C1F7D">
      <w:pPr>
        <w:pStyle w:val="WPNormal"/>
        <w:rPr>
          <w:rFonts w:ascii="Verdana" w:hAnsi="Verdana"/>
          <w:i/>
          <w:color w:val="000000"/>
          <w:sz w:val="22"/>
          <w:szCs w:val="22"/>
          <w:shd w:val="clear" w:color="auto" w:fill="FFFFFF"/>
        </w:rPr>
      </w:pPr>
    </w:p>
    <w:p w14:paraId="427021C2" w14:textId="77777777" w:rsidR="00CC6A5B" w:rsidRDefault="00CC6A5B" w:rsidP="0033307C">
      <w:pPr>
        <w:pStyle w:val="WPNormal"/>
        <w:rPr>
          <w:rFonts w:ascii="Verdana" w:hAnsi="Verdana"/>
          <w:color w:val="000000"/>
          <w:sz w:val="22"/>
          <w:szCs w:val="22"/>
          <w:u w:val="single"/>
          <w:shd w:val="clear" w:color="auto" w:fill="FFFFFF"/>
        </w:rPr>
      </w:pPr>
    </w:p>
    <w:p w14:paraId="16417C83" w14:textId="69D8EFB0" w:rsidR="00643CBB" w:rsidRPr="00E9280A" w:rsidRDefault="00730DFD" w:rsidP="0033307C">
      <w:pPr>
        <w:pStyle w:val="WPNormal"/>
        <w:rPr>
          <w:rFonts w:ascii="Verdana" w:hAnsi="Verdana"/>
          <w:color w:val="000000"/>
          <w:sz w:val="22"/>
          <w:szCs w:val="22"/>
          <w:u w:val="single"/>
          <w:shd w:val="clear" w:color="auto" w:fill="FFFFFF"/>
        </w:rPr>
      </w:pPr>
      <w:r w:rsidRPr="00E9280A">
        <w:rPr>
          <w:rFonts w:ascii="Verdana" w:hAnsi="Verdana"/>
          <w:color w:val="000000"/>
          <w:sz w:val="22"/>
          <w:szCs w:val="22"/>
          <w:u w:val="single"/>
          <w:shd w:val="clear" w:color="auto" w:fill="FFFFFF"/>
        </w:rPr>
        <w:t>TAX FREEDOM DAY: APRIL 16</w:t>
      </w:r>
      <w:r w:rsidRPr="00E9280A">
        <w:rPr>
          <w:rFonts w:ascii="Verdana" w:hAnsi="Verdana"/>
          <w:color w:val="000000"/>
          <w:sz w:val="22"/>
          <w:szCs w:val="22"/>
          <w:u w:val="single"/>
          <w:shd w:val="clear" w:color="auto" w:fill="FFFFFF"/>
          <w:vertAlign w:val="superscript"/>
        </w:rPr>
        <w:t>TH</w:t>
      </w:r>
      <w:r w:rsidRPr="00E9280A">
        <w:rPr>
          <w:rFonts w:ascii="Verdana" w:hAnsi="Verdana"/>
          <w:color w:val="000000"/>
          <w:sz w:val="22"/>
          <w:szCs w:val="22"/>
          <w:u w:val="single"/>
          <w:shd w:val="clear" w:color="auto" w:fill="FFFFFF"/>
        </w:rPr>
        <w:t>, 2019</w:t>
      </w:r>
    </w:p>
    <w:p w14:paraId="5CBBC7E6" w14:textId="3513ECA1" w:rsidR="00730DFD" w:rsidRPr="00CC6A5B" w:rsidRDefault="00730DFD" w:rsidP="0033307C">
      <w:pPr>
        <w:pStyle w:val="WPNormal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CC6A5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Tax Freedom day represents how long Americans as a whole have to work in order to pay the nation’s tax burden</w:t>
      </w:r>
      <w:r w:rsidR="008105F4" w:rsidRPr="00CC6A5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  So for 2019, Americans who work will work the first 105 days of the year</w:t>
      </w:r>
      <w:r w:rsidR="00E9280A" w:rsidRPr="00CC6A5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for the government and they get to keep the remaining 260!</w:t>
      </w:r>
    </w:p>
    <w:p w14:paraId="3293B7B6" w14:textId="34ADA684" w:rsidR="00E9280A" w:rsidRPr="00CC6A5B" w:rsidRDefault="00EB0772" w:rsidP="0033307C">
      <w:pPr>
        <w:pStyle w:val="WPNormal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CC6A5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Americans will collectively spend more on taxes in 219 than they will on food, clothing, and housing combined.</w:t>
      </w:r>
    </w:p>
    <w:p w14:paraId="04D9D845" w14:textId="32395BE5" w:rsidR="00122A0B" w:rsidRPr="00CC6A5B" w:rsidRDefault="007B0B53" w:rsidP="0033307C">
      <w:pPr>
        <w:pStyle w:val="WPNormal"/>
        <w:rPr>
          <w:rFonts w:asciiTheme="majorHAnsi" w:hAnsiTheme="majorHAnsi" w:cstheme="majorHAnsi"/>
          <w:i/>
          <w:color w:val="000000"/>
          <w:sz w:val="22"/>
          <w:szCs w:val="22"/>
          <w:shd w:val="clear" w:color="auto" w:fill="FFFFFF"/>
        </w:rPr>
      </w:pPr>
      <w:r w:rsidRPr="00CC6A5B">
        <w:rPr>
          <w:rFonts w:asciiTheme="majorHAnsi" w:hAnsiTheme="majorHAnsi" w:cstheme="majorHAnsi"/>
          <w:i/>
          <w:color w:val="000000"/>
          <w:sz w:val="22"/>
          <w:szCs w:val="22"/>
          <w:shd w:val="clear" w:color="auto" w:fill="FFFFFF"/>
        </w:rPr>
        <w:t>TaxFoundation.org</w:t>
      </w:r>
    </w:p>
    <w:p w14:paraId="35EC72E2" w14:textId="77777777" w:rsidR="00730DFD" w:rsidRPr="00CC6A5B" w:rsidRDefault="00730DFD" w:rsidP="0033307C">
      <w:pPr>
        <w:pStyle w:val="WPNormal"/>
        <w:rPr>
          <w:rFonts w:asciiTheme="majorHAnsi" w:hAnsiTheme="majorHAnsi" w:cstheme="majorHAnsi"/>
          <w:i/>
          <w:color w:val="000000"/>
          <w:sz w:val="22"/>
          <w:szCs w:val="22"/>
          <w:shd w:val="clear" w:color="auto" w:fill="FFFFFF"/>
        </w:rPr>
      </w:pPr>
    </w:p>
    <w:p w14:paraId="19E3C985" w14:textId="77777777" w:rsidR="00643CBB" w:rsidRPr="00EB7FA5" w:rsidRDefault="00643CBB" w:rsidP="0033307C">
      <w:pPr>
        <w:pStyle w:val="WPNormal"/>
        <w:rPr>
          <w:rFonts w:asciiTheme="minorHAnsi" w:hAnsiTheme="minorHAnsi" w:cstheme="minorHAnsi"/>
          <w:sz w:val="22"/>
          <w:szCs w:val="22"/>
        </w:rPr>
      </w:pPr>
    </w:p>
    <w:p w14:paraId="231F6CB2" w14:textId="69526B1B" w:rsidR="008F7F2A" w:rsidRPr="007B00AE" w:rsidRDefault="0059553F" w:rsidP="0033307C">
      <w:pPr>
        <w:pStyle w:val="WPNormal"/>
        <w:rPr>
          <w:rFonts w:asciiTheme="minorHAnsi" w:hAnsiTheme="minorHAnsi" w:cstheme="minorHAnsi"/>
          <w:sz w:val="22"/>
          <w:szCs w:val="22"/>
        </w:rPr>
      </w:pPr>
      <w:r w:rsidRPr="00EB7FA5">
        <w:rPr>
          <w:rFonts w:asciiTheme="minorHAnsi" w:hAnsiTheme="minorHAnsi" w:cstheme="minorHAnsi"/>
          <w:sz w:val="22"/>
          <w:szCs w:val="22"/>
        </w:rPr>
        <w:t xml:space="preserve">**The assignments </w:t>
      </w:r>
      <w:r w:rsidRPr="00EB7FA5">
        <w:rPr>
          <w:rFonts w:asciiTheme="minorHAnsi" w:hAnsiTheme="minorHAnsi" w:cstheme="minorHAnsi"/>
          <w:sz w:val="22"/>
          <w:szCs w:val="22"/>
          <w:u w:val="single"/>
        </w:rPr>
        <w:t>and</w:t>
      </w:r>
      <w:r w:rsidR="0033307C" w:rsidRPr="00EB7FA5">
        <w:rPr>
          <w:rFonts w:asciiTheme="minorHAnsi" w:hAnsiTheme="minorHAnsi" w:cstheme="minorHAnsi"/>
          <w:sz w:val="22"/>
          <w:szCs w:val="22"/>
          <w:u w:val="single"/>
        </w:rPr>
        <w:t>/or</w:t>
      </w:r>
      <w:r w:rsidRPr="00EB7FA5">
        <w:rPr>
          <w:rFonts w:asciiTheme="minorHAnsi" w:hAnsiTheme="minorHAnsi" w:cstheme="minorHAnsi"/>
          <w:sz w:val="22"/>
          <w:szCs w:val="22"/>
        </w:rPr>
        <w:t xml:space="preserve"> due dates listed below are subject to change at any time by the professor.</w:t>
      </w:r>
      <w:r>
        <w:rPr>
          <w:rFonts w:asciiTheme="minorHAnsi" w:hAnsiTheme="minorHAnsi" w:cstheme="minorHAnsi"/>
          <w:sz w:val="22"/>
          <w:szCs w:val="22"/>
        </w:rPr>
        <w:t xml:space="preserve">  Any changes for due dates or a change in the type of assignment will be announced in class and via </w:t>
      </w:r>
      <w:r w:rsidR="00A8676E">
        <w:rPr>
          <w:rFonts w:asciiTheme="minorHAnsi" w:hAnsiTheme="minorHAnsi" w:cstheme="minorHAnsi"/>
          <w:sz w:val="22"/>
          <w:szCs w:val="22"/>
        </w:rPr>
        <w:t>Canvas announcement</w:t>
      </w:r>
      <w:r>
        <w:rPr>
          <w:rFonts w:asciiTheme="minorHAnsi" w:hAnsiTheme="minorHAnsi" w:cstheme="minorHAnsi"/>
          <w:sz w:val="22"/>
          <w:szCs w:val="22"/>
        </w:rPr>
        <w:t xml:space="preserve"> at least one week prior to the posted due date below. </w:t>
      </w:r>
    </w:p>
    <w:p w14:paraId="0799A1EA" w14:textId="77777777" w:rsidR="008F7F2A" w:rsidRPr="007B00AE" w:rsidRDefault="008F7F2A" w:rsidP="008F7F2A">
      <w:pPr>
        <w:pStyle w:val="WPNormal"/>
        <w:ind w:left="1440" w:hanging="1440"/>
        <w:rPr>
          <w:rFonts w:asciiTheme="minorHAnsi" w:hAnsiTheme="minorHAnsi" w:cstheme="minorHAnsi"/>
          <w:b/>
          <w:sz w:val="22"/>
          <w:szCs w:val="22"/>
        </w:rPr>
      </w:pPr>
    </w:p>
    <w:p w14:paraId="2BE538CB" w14:textId="77777777" w:rsidR="008F7F2A" w:rsidRPr="007B00AE" w:rsidRDefault="008F7F2A" w:rsidP="008F7F2A">
      <w:pPr>
        <w:pStyle w:val="WPNormal"/>
        <w:rPr>
          <w:rFonts w:asciiTheme="minorHAnsi" w:hAnsiTheme="minorHAnsi" w:cstheme="minorHAnsi"/>
          <w:sz w:val="22"/>
          <w:szCs w:val="22"/>
        </w:rPr>
      </w:pPr>
      <w:r w:rsidRPr="007B00AE">
        <w:rPr>
          <w:rFonts w:asciiTheme="minorHAnsi" w:hAnsiTheme="minorHAnsi" w:cstheme="minorHAnsi"/>
          <w:b/>
          <w:sz w:val="22"/>
          <w:szCs w:val="22"/>
        </w:rPr>
        <w:t>Preferred means of communication</w:t>
      </w:r>
      <w:r w:rsidRPr="007B00A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3C092B9" w14:textId="43A80A94" w:rsidR="008F7F2A" w:rsidRDefault="008F7F2A" w:rsidP="008F7F2A">
      <w:pPr>
        <w:pStyle w:val="WPNormal"/>
        <w:ind w:left="720"/>
        <w:rPr>
          <w:rFonts w:asciiTheme="minorHAnsi" w:hAnsiTheme="minorHAnsi" w:cstheme="minorHAnsi"/>
          <w:sz w:val="22"/>
          <w:szCs w:val="22"/>
        </w:rPr>
      </w:pPr>
      <w:r w:rsidRPr="007B00AE">
        <w:rPr>
          <w:rFonts w:asciiTheme="minorHAnsi" w:hAnsiTheme="minorHAnsi" w:cstheme="minorHAnsi"/>
          <w:sz w:val="22"/>
          <w:szCs w:val="22"/>
        </w:rPr>
        <w:t xml:space="preserve">All communication should </w:t>
      </w:r>
      <w:r w:rsidRPr="003D2518">
        <w:rPr>
          <w:rFonts w:asciiTheme="minorHAnsi" w:hAnsiTheme="minorHAnsi" w:cstheme="minorHAnsi"/>
          <w:sz w:val="22"/>
          <w:szCs w:val="22"/>
        </w:rPr>
        <w:t xml:space="preserve">be via </w:t>
      </w:r>
      <w:r w:rsidR="00437E39" w:rsidRPr="003D2518">
        <w:rPr>
          <w:rFonts w:asciiTheme="minorHAnsi" w:hAnsiTheme="minorHAnsi" w:cstheme="minorHAnsi"/>
          <w:sz w:val="22"/>
          <w:szCs w:val="22"/>
        </w:rPr>
        <w:t>email</w:t>
      </w:r>
      <w:r w:rsidR="003D2518">
        <w:rPr>
          <w:rFonts w:asciiTheme="minorHAnsi" w:hAnsiTheme="minorHAnsi" w:cstheme="minorHAnsi"/>
          <w:sz w:val="22"/>
          <w:szCs w:val="22"/>
        </w:rPr>
        <w:t xml:space="preserve">.  </w:t>
      </w:r>
      <w:r w:rsidRPr="007B00AE">
        <w:rPr>
          <w:rFonts w:asciiTheme="minorHAnsi" w:hAnsiTheme="minorHAnsi" w:cstheme="minorHAnsi"/>
          <w:sz w:val="22"/>
          <w:szCs w:val="22"/>
        </w:rPr>
        <w:t>I monitor my email very frequently and should, in most ca</w:t>
      </w:r>
      <w:r>
        <w:rPr>
          <w:rFonts w:asciiTheme="minorHAnsi" w:hAnsiTheme="minorHAnsi" w:cstheme="minorHAnsi"/>
          <w:sz w:val="22"/>
          <w:szCs w:val="22"/>
        </w:rPr>
        <w:t>se</w:t>
      </w:r>
      <w:r w:rsidR="00A3520D">
        <w:rPr>
          <w:rFonts w:asciiTheme="minorHAnsi" w:hAnsiTheme="minorHAnsi" w:cstheme="minorHAnsi"/>
          <w:sz w:val="22"/>
          <w:szCs w:val="22"/>
        </w:rPr>
        <w:t xml:space="preserve">s, be able to respond within </w:t>
      </w:r>
      <w:r>
        <w:rPr>
          <w:rFonts w:asciiTheme="minorHAnsi" w:hAnsiTheme="minorHAnsi" w:cstheme="minorHAnsi"/>
          <w:sz w:val="22"/>
          <w:szCs w:val="22"/>
        </w:rPr>
        <w:t>24</w:t>
      </w:r>
      <w:r w:rsidR="00A3520D">
        <w:rPr>
          <w:rFonts w:asciiTheme="minorHAnsi" w:hAnsiTheme="minorHAnsi" w:cstheme="minorHAnsi"/>
          <w:sz w:val="22"/>
          <w:szCs w:val="22"/>
        </w:rPr>
        <w:t xml:space="preserve"> hours M-F and within </w:t>
      </w:r>
      <w:r>
        <w:rPr>
          <w:rFonts w:asciiTheme="minorHAnsi" w:hAnsiTheme="minorHAnsi" w:cstheme="minorHAnsi"/>
          <w:sz w:val="22"/>
          <w:szCs w:val="22"/>
        </w:rPr>
        <w:t>48</w:t>
      </w:r>
      <w:r w:rsidRPr="007B00AE">
        <w:rPr>
          <w:rFonts w:asciiTheme="minorHAnsi" w:hAnsiTheme="minorHAnsi" w:cstheme="minorHAnsi"/>
          <w:sz w:val="22"/>
          <w:szCs w:val="22"/>
        </w:rPr>
        <w:t xml:space="preserve"> hours on the weekend. </w:t>
      </w:r>
    </w:p>
    <w:p w14:paraId="5DC987EA" w14:textId="77777777" w:rsidR="008F7F2A" w:rsidRDefault="008F7F2A" w:rsidP="008F7F2A">
      <w:pPr>
        <w:pStyle w:val="WPNormal"/>
        <w:ind w:left="720"/>
        <w:rPr>
          <w:rFonts w:asciiTheme="minorHAnsi" w:hAnsiTheme="minorHAnsi" w:cstheme="minorHAnsi"/>
          <w:sz w:val="22"/>
          <w:szCs w:val="22"/>
        </w:rPr>
      </w:pPr>
    </w:p>
    <w:p w14:paraId="17700B81" w14:textId="77777777" w:rsidR="008F7F2A" w:rsidRPr="007B00AE" w:rsidRDefault="008F7F2A" w:rsidP="008F7F2A">
      <w:pPr>
        <w:pStyle w:val="WPNormal"/>
        <w:rPr>
          <w:rFonts w:asciiTheme="minorHAnsi" w:hAnsiTheme="minorHAnsi" w:cstheme="minorHAnsi"/>
          <w:b/>
          <w:sz w:val="22"/>
          <w:szCs w:val="22"/>
        </w:rPr>
      </w:pPr>
      <w:r w:rsidRPr="007B00AE">
        <w:rPr>
          <w:rFonts w:asciiTheme="minorHAnsi" w:hAnsiTheme="minorHAnsi" w:cstheme="minorHAnsi"/>
          <w:b/>
          <w:sz w:val="22"/>
          <w:szCs w:val="22"/>
        </w:rPr>
        <w:t>Catalog Description</w:t>
      </w:r>
    </w:p>
    <w:p w14:paraId="40761221" w14:textId="77777777" w:rsidR="008F7F2A" w:rsidRDefault="00253665" w:rsidP="008F7F2A">
      <w:pPr>
        <w:pStyle w:val="WPNormal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Introduction to </w:t>
      </w:r>
      <w:r w:rsidR="003D2518">
        <w:rPr>
          <w:rFonts w:asciiTheme="minorHAnsi" w:hAnsiTheme="minorHAnsi" w:cstheme="minorHAnsi"/>
          <w:sz w:val="22"/>
          <w:szCs w:val="22"/>
        </w:rPr>
        <w:t xml:space="preserve">federal income taxation of corporations and partnerships and introduction to coverage of tax research. </w:t>
      </w:r>
      <w:r w:rsidR="008F7F2A" w:rsidRPr="0048065E">
        <w:rPr>
          <w:rFonts w:asciiTheme="minorHAnsi" w:hAnsiTheme="minorHAnsi" w:cstheme="minorHAnsi"/>
          <w:sz w:val="22"/>
          <w:szCs w:val="22"/>
        </w:rPr>
        <w:t xml:space="preserve"> </w:t>
      </w:r>
      <w:r w:rsidR="008F7F2A" w:rsidRPr="0048065E">
        <w:rPr>
          <w:rFonts w:asciiTheme="minorHAnsi" w:hAnsiTheme="minorHAnsi" w:cstheme="minorHAnsi"/>
          <w:b/>
          <w:bCs/>
          <w:sz w:val="22"/>
          <w:szCs w:val="22"/>
        </w:rPr>
        <w:t>Prerequisite</w:t>
      </w:r>
      <w:r w:rsidR="003D2518">
        <w:rPr>
          <w:rFonts w:asciiTheme="minorHAnsi" w:hAnsiTheme="minorHAnsi" w:cstheme="minorHAnsi"/>
          <w:sz w:val="22"/>
          <w:szCs w:val="22"/>
        </w:rPr>
        <w:t>: ACCT 3325</w:t>
      </w:r>
      <w:r w:rsidR="008F7F2A" w:rsidRPr="0048065E">
        <w:rPr>
          <w:rFonts w:asciiTheme="minorHAnsi" w:hAnsiTheme="minorHAnsi" w:cstheme="minorHAnsi"/>
          <w:sz w:val="22"/>
          <w:szCs w:val="22"/>
        </w:rPr>
        <w:t>.</w:t>
      </w:r>
      <w:r w:rsidR="001808CC" w:rsidRPr="0048065E">
        <w:rPr>
          <w:rFonts w:asciiTheme="minorHAnsi" w:hAnsiTheme="minorHAnsi" w:cstheme="minorHAnsi"/>
          <w:sz w:val="22"/>
          <w:szCs w:val="22"/>
        </w:rPr>
        <w:t xml:space="preserve"> </w:t>
      </w:r>
      <w:r w:rsidR="008F7F2A" w:rsidRPr="0048065E">
        <w:rPr>
          <w:rFonts w:asciiTheme="minorHAnsi" w:hAnsiTheme="minorHAnsi" w:cstheme="minorHAnsi"/>
          <w:sz w:val="22"/>
          <w:szCs w:val="22"/>
        </w:rPr>
        <w:t xml:space="preserve"> 3 credit hours.</w:t>
      </w:r>
    </w:p>
    <w:p w14:paraId="0CA253A8" w14:textId="77777777" w:rsidR="008F7F2A" w:rsidRDefault="008F7F2A" w:rsidP="008F7F2A">
      <w:pPr>
        <w:pStyle w:val="WPNormal"/>
        <w:ind w:left="720"/>
        <w:rPr>
          <w:rFonts w:asciiTheme="minorHAnsi" w:hAnsiTheme="minorHAnsi" w:cstheme="minorHAnsi"/>
          <w:sz w:val="22"/>
          <w:szCs w:val="22"/>
        </w:rPr>
      </w:pPr>
    </w:p>
    <w:p w14:paraId="4A701B70" w14:textId="77777777" w:rsidR="008F7F2A" w:rsidRDefault="008F7F2A" w:rsidP="008F7F2A">
      <w:pPr>
        <w:pStyle w:val="WPNormal"/>
        <w:rPr>
          <w:rFonts w:asciiTheme="minorHAnsi" w:hAnsiTheme="minorHAnsi" w:cstheme="minorHAnsi"/>
          <w:b/>
          <w:sz w:val="22"/>
          <w:szCs w:val="22"/>
        </w:rPr>
      </w:pPr>
      <w:r w:rsidRPr="007B00AE">
        <w:rPr>
          <w:rFonts w:asciiTheme="minorHAnsi" w:hAnsiTheme="minorHAnsi" w:cstheme="minorHAnsi"/>
          <w:b/>
          <w:sz w:val="22"/>
          <w:szCs w:val="22"/>
        </w:rPr>
        <w:t>Course Objectives:</w:t>
      </w:r>
    </w:p>
    <w:p w14:paraId="65E7DE02" w14:textId="000C3280" w:rsidR="00537C88" w:rsidRDefault="003D2518" w:rsidP="003D2518">
      <w:pPr>
        <w:pStyle w:val="WP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D2518">
        <w:rPr>
          <w:rFonts w:asciiTheme="minorHAnsi" w:hAnsiTheme="minorHAnsi" w:cstheme="minorHAnsi"/>
          <w:sz w:val="22"/>
          <w:szCs w:val="22"/>
        </w:rPr>
        <w:t>Identify</w:t>
      </w:r>
      <w:r>
        <w:rPr>
          <w:rFonts w:asciiTheme="minorHAnsi" w:hAnsiTheme="minorHAnsi" w:cstheme="minorHAnsi"/>
          <w:sz w:val="22"/>
          <w:szCs w:val="22"/>
        </w:rPr>
        <w:t xml:space="preserve"> and assess the validity and weight of</w:t>
      </w:r>
      <w:r w:rsidRPr="003D2518">
        <w:rPr>
          <w:rFonts w:asciiTheme="minorHAnsi" w:hAnsiTheme="minorHAnsi" w:cstheme="minorHAnsi"/>
          <w:sz w:val="22"/>
          <w:szCs w:val="22"/>
        </w:rPr>
        <w:t xml:space="preserve"> tax law sources</w:t>
      </w:r>
      <w:r w:rsidR="00537C88">
        <w:rPr>
          <w:rFonts w:asciiTheme="minorHAnsi" w:hAnsiTheme="minorHAnsi" w:cstheme="minorHAnsi"/>
          <w:sz w:val="22"/>
          <w:szCs w:val="22"/>
        </w:rPr>
        <w:t xml:space="preserve"> and demonstrate tax research</w:t>
      </w:r>
    </w:p>
    <w:p w14:paraId="49D9757F" w14:textId="4E972A98" w:rsidR="003D2518" w:rsidRDefault="00537C88" w:rsidP="003D2518">
      <w:pPr>
        <w:pStyle w:val="WP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Analyze tax court cases present findings </w:t>
      </w:r>
    </w:p>
    <w:p w14:paraId="1849E622" w14:textId="1914207C" w:rsidR="00537C88" w:rsidRPr="00537C88" w:rsidRDefault="00537C88" w:rsidP="00537C88">
      <w:pPr>
        <w:pStyle w:val="WP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 and determine the Sec.199A deduction </w:t>
      </w:r>
    </w:p>
    <w:p w14:paraId="367D72DD" w14:textId="364A7A7E" w:rsidR="00B0676D" w:rsidRDefault="00B0676D" w:rsidP="003D2518">
      <w:pPr>
        <w:pStyle w:val="WP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Evaluate tax planning </w:t>
      </w:r>
      <w:r w:rsidR="00537C88">
        <w:rPr>
          <w:rFonts w:asciiTheme="minorHAnsi" w:hAnsiTheme="minorHAnsi" w:cstheme="minorHAnsi"/>
          <w:sz w:val="22"/>
          <w:szCs w:val="22"/>
        </w:rPr>
        <w:t>strategies</w:t>
      </w:r>
      <w:r>
        <w:rPr>
          <w:rFonts w:asciiTheme="minorHAnsi" w:hAnsiTheme="minorHAnsi" w:cstheme="minorHAnsi"/>
          <w:sz w:val="22"/>
          <w:szCs w:val="22"/>
        </w:rPr>
        <w:t xml:space="preserve"> for choice of entity</w:t>
      </w:r>
      <w:r w:rsidR="00537C88">
        <w:rPr>
          <w:rFonts w:asciiTheme="minorHAnsi" w:hAnsiTheme="minorHAnsi" w:cstheme="minorHAnsi"/>
          <w:sz w:val="22"/>
          <w:szCs w:val="22"/>
        </w:rPr>
        <w:t xml:space="preserve"> under TCJA to maximize §199A deduction</w:t>
      </w:r>
    </w:p>
    <w:p w14:paraId="3D2F85FC" w14:textId="77777777" w:rsidR="00B0676D" w:rsidRDefault="00B0676D" w:rsidP="003D2518">
      <w:pPr>
        <w:pStyle w:val="WP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 and apply the tax rules unique to corporations and compute the corporate income tax</w:t>
      </w:r>
    </w:p>
    <w:p w14:paraId="6333E578" w14:textId="77777777" w:rsidR="00B0676D" w:rsidRDefault="00B0676D" w:rsidP="003D2518">
      <w:pPr>
        <w:pStyle w:val="WP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Distinguish amount the various types of entities treated as partnerships for tax purposes and calculate a partnership’s taxable income and separately stated items and describe how the partnership’s income is reported. </w:t>
      </w:r>
    </w:p>
    <w:p w14:paraId="58F70D06" w14:textId="77777777" w:rsidR="00B0676D" w:rsidRDefault="00B0676D" w:rsidP="003D2518">
      <w:pPr>
        <w:pStyle w:val="WP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 corporations that qualify for the S election and compute nonseparately stated income and identify separately stated items.</w:t>
      </w:r>
    </w:p>
    <w:p w14:paraId="18BB969E" w14:textId="77777777" w:rsidR="00FF3B8F" w:rsidRDefault="00FF3B8F" w:rsidP="003D2518">
      <w:pPr>
        <w:pStyle w:val="WP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Identify the different types of exempt organizations and apply the tax consequences of exempt status</w:t>
      </w:r>
    </w:p>
    <w:p w14:paraId="6F8DF367" w14:textId="77777777" w:rsidR="00FF3B8F" w:rsidRDefault="00FF3B8F" w:rsidP="003D2518">
      <w:pPr>
        <w:pStyle w:val="WP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Illustrate the organization and structure of the IRS</w:t>
      </w:r>
    </w:p>
    <w:p w14:paraId="33BFA59D" w14:textId="77777777" w:rsidR="00FF3B8F" w:rsidRDefault="00FF3B8F" w:rsidP="003D2518">
      <w:pPr>
        <w:pStyle w:val="WP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 the various administrative pronouncements issued by the IRS and e</w:t>
      </w:r>
      <w:r w:rsidR="009A1656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>plain how they can be used in tax practice</w:t>
      </w:r>
    </w:p>
    <w:p w14:paraId="5A4140CA" w14:textId="66A2B8BE" w:rsidR="00FF3B8F" w:rsidRDefault="00FF3B8F" w:rsidP="003D2518">
      <w:pPr>
        <w:pStyle w:val="WP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Summarize</w:t>
      </w:r>
      <w:r w:rsidR="00537C88">
        <w:rPr>
          <w:rFonts w:asciiTheme="minorHAnsi" w:hAnsiTheme="minorHAnsi" w:cstheme="minorHAnsi"/>
          <w:sz w:val="22"/>
          <w:szCs w:val="22"/>
        </w:rPr>
        <w:t xml:space="preserve"> and apply</w:t>
      </w:r>
      <w:r>
        <w:rPr>
          <w:rFonts w:asciiTheme="minorHAnsi" w:hAnsiTheme="minorHAnsi" w:cstheme="minorHAnsi"/>
          <w:sz w:val="22"/>
          <w:szCs w:val="22"/>
        </w:rPr>
        <w:t xml:space="preserve"> the legal and ethical guidelines that apply to those engaged in tax practice. </w:t>
      </w:r>
    </w:p>
    <w:p w14:paraId="145F6D89" w14:textId="77777777" w:rsidR="00FF3B8F" w:rsidRDefault="00FF3B8F" w:rsidP="00FF3B8F">
      <w:pPr>
        <w:pStyle w:val="WPNormal"/>
        <w:ind w:left="720"/>
        <w:rPr>
          <w:rFonts w:asciiTheme="minorHAnsi" w:hAnsiTheme="minorHAnsi" w:cstheme="minorHAnsi"/>
          <w:sz w:val="22"/>
          <w:szCs w:val="22"/>
        </w:rPr>
      </w:pPr>
    </w:p>
    <w:p w14:paraId="2BF9E6AE" w14:textId="77777777" w:rsidR="008F7F2A" w:rsidRDefault="008F7F2A" w:rsidP="008F7F2A">
      <w:pPr>
        <w:pStyle w:val="WPNormal"/>
        <w:ind w:left="90" w:hanging="90"/>
        <w:rPr>
          <w:rFonts w:asciiTheme="minorHAnsi" w:hAnsiTheme="minorHAnsi" w:cstheme="minorHAnsi"/>
          <w:b/>
          <w:sz w:val="22"/>
          <w:szCs w:val="22"/>
        </w:rPr>
      </w:pPr>
      <w:r w:rsidRPr="00437E39">
        <w:rPr>
          <w:rFonts w:asciiTheme="minorHAnsi" w:hAnsiTheme="minorHAnsi" w:cstheme="minorHAnsi"/>
          <w:b/>
          <w:sz w:val="22"/>
          <w:szCs w:val="22"/>
        </w:rPr>
        <w:t>Required Course Materials:</w:t>
      </w:r>
      <w:r w:rsidR="001808CC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2D1366BF" w14:textId="77777777" w:rsidR="00FF3B8F" w:rsidRDefault="001808CC" w:rsidP="00253665">
      <w:pPr>
        <w:pStyle w:val="WPNormal"/>
        <w:ind w:left="90" w:hanging="9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FF3B8F">
        <w:rPr>
          <w:rFonts w:asciiTheme="minorHAnsi" w:hAnsiTheme="minorHAnsi" w:cstheme="minorHAnsi"/>
          <w:sz w:val="22"/>
          <w:szCs w:val="22"/>
        </w:rPr>
        <w:t>Cengage</w:t>
      </w:r>
      <w:r>
        <w:rPr>
          <w:rFonts w:asciiTheme="minorHAnsi" w:hAnsiTheme="minorHAnsi" w:cstheme="minorHAnsi"/>
          <w:sz w:val="22"/>
          <w:szCs w:val="22"/>
        </w:rPr>
        <w:t xml:space="preserve">’s </w:t>
      </w:r>
      <w:r w:rsidR="00FF3B8F">
        <w:rPr>
          <w:rFonts w:asciiTheme="minorHAnsi" w:hAnsiTheme="minorHAnsi" w:cstheme="minorHAnsi"/>
          <w:b/>
          <w:i/>
          <w:sz w:val="22"/>
          <w:szCs w:val="22"/>
        </w:rPr>
        <w:t>South-Western Federal Taxation: Corporations, Partnerships, Estates &amp; Trusts 20</w:t>
      </w:r>
      <w:r w:rsidR="009A1656">
        <w:rPr>
          <w:rFonts w:asciiTheme="minorHAnsi" w:hAnsiTheme="minorHAnsi" w:cstheme="minorHAnsi"/>
          <w:b/>
          <w:i/>
          <w:sz w:val="22"/>
          <w:szCs w:val="22"/>
        </w:rPr>
        <w:t>20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="00FF3B8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C597671" w14:textId="77777777" w:rsidR="00FF3B8F" w:rsidRPr="002C7A75" w:rsidRDefault="00FF3B8F" w:rsidP="006205EA">
      <w:pPr>
        <w:pStyle w:val="WPNormal"/>
        <w:ind w:left="720" w:firstLine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Raabe, Hoffman, Young, Nellen, Maloney</w:t>
      </w:r>
      <w:r w:rsidR="00253665">
        <w:rPr>
          <w:rFonts w:asciiTheme="minorHAnsi" w:hAnsiTheme="minorHAnsi" w:cstheme="minorHAnsi"/>
          <w:sz w:val="22"/>
          <w:szCs w:val="22"/>
        </w:rPr>
        <w:t xml:space="preserve"> WITH </w:t>
      </w:r>
      <w:r>
        <w:rPr>
          <w:rFonts w:asciiTheme="minorHAnsi" w:hAnsiTheme="minorHAnsi" w:cstheme="minorHAnsi"/>
          <w:sz w:val="22"/>
          <w:szCs w:val="22"/>
        </w:rPr>
        <w:t xml:space="preserve">CNOW </w:t>
      </w:r>
      <w:r w:rsidR="00EC16FF">
        <w:rPr>
          <w:rFonts w:asciiTheme="minorHAnsi" w:hAnsiTheme="minorHAnsi" w:cstheme="minorHAnsi"/>
          <w:sz w:val="22"/>
          <w:szCs w:val="22"/>
        </w:rPr>
        <w:t>Access Card</w:t>
      </w:r>
      <w:r w:rsidR="0025366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 complete online homework</w:t>
      </w:r>
      <w:r w:rsidR="006205EA">
        <w:rPr>
          <w:rFonts w:asciiTheme="minorHAnsi" w:hAnsiTheme="minorHAnsi" w:cstheme="minorHAnsi"/>
          <w:sz w:val="22"/>
          <w:szCs w:val="22"/>
        </w:rPr>
        <w:t>. See Canvas for full discussion of options as there are several.</w:t>
      </w:r>
      <w:r w:rsidR="002C7A75">
        <w:rPr>
          <w:rFonts w:asciiTheme="minorHAnsi" w:hAnsiTheme="minorHAnsi" w:cstheme="minorHAnsi"/>
          <w:sz w:val="22"/>
          <w:szCs w:val="22"/>
        </w:rPr>
        <w:t xml:space="preserve"> I </w:t>
      </w:r>
      <w:r w:rsidRPr="002C7A75">
        <w:rPr>
          <w:rFonts w:asciiTheme="minorHAnsi" w:hAnsiTheme="minorHAnsi" w:cstheme="minorHAnsi"/>
          <w:sz w:val="22"/>
          <w:szCs w:val="22"/>
        </w:rPr>
        <w:t>strongly recommend you get some sort of print copy of this book to keep.  Once you purchase the access card, you will have the option of purchasing a relatively inexpensive loose-leaf version of the text.</w:t>
      </w:r>
    </w:p>
    <w:p w14:paraId="6F21AAB5" w14:textId="77777777" w:rsidR="008F7F2A" w:rsidRDefault="00F800F6" w:rsidP="00F800F6">
      <w:pPr>
        <w:ind w:left="720"/>
        <w:rPr>
          <w:rFonts w:cstheme="minorHAnsi"/>
        </w:rPr>
      </w:pPr>
      <w:r>
        <w:rPr>
          <w:rFonts w:cstheme="minorHAnsi"/>
        </w:rPr>
        <w:t>Basic 4 function calculator.  You may not use a cell phone or a programmable calculator.</w:t>
      </w:r>
      <w:r w:rsidR="006D0BF6" w:rsidRPr="00760C82">
        <w:rPr>
          <w:rFonts w:cstheme="minorHAnsi"/>
        </w:rPr>
        <w:t xml:space="preserve"> </w:t>
      </w:r>
    </w:p>
    <w:p w14:paraId="799EE3E7" w14:textId="77777777" w:rsidR="00253665" w:rsidRDefault="00C0418F" w:rsidP="004E15CE">
      <w:pPr>
        <w:pStyle w:val="WPNormal"/>
        <w:rPr>
          <w:rFonts w:asciiTheme="minorHAnsi" w:hAnsiTheme="minorHAnsi" w:cstheme="minorHAnsi"/>
          <w:sz w:val="22"/>
          <w:szCs w:val="22"/>
        </w:rPr>
      </w:pPr>
      <w:r w:rsidRPr="007B00AE">
        <w:rPr>
          <w:rFonts w:asciiTheme="minorHAnsi" w:hAnsiTheme="minorHAnsi" w:cstheme="minorHAnsi"/>
          <w:b/>
          <w:sz w:val="22"/>
          <w:szCs w:val="22"/>
        </w:rPr>
        <w:t>Evaluation: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7"/>
        <w:gridCol w:w="921"/>
        <w:gridCol w:w="347"/>
        <w:gridCol w:w="2250"/>
        <w:gridCol w:w="810"/>
      </w:tblGrid>
      <w:tr w:rsidR="0081637D" w14:paraId="1359C777" w14:textId="77777777" w:rsidTr="0081637D">
        <w:tc>
          <w:tcPr>
            <w:tcW w:w="1787" w:type="dxa"/>
          </w:tcPr>
          <w:p w14:paraId="5F9A0263" w14:textId="77777777" w:rsidR="0081637D" w:rsidRPr="00253665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536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Assignment</w:t>
            </w:r>
          </w:p>
        </w:tc>
        <w:tc>
          <w:tcPr>
            <w:tcW w:w="921" w:type="dxa"/>
          </w:tcPr>
          <w:p w14:paraId="325A7857" w14:textId="77777777" w:rsidR="0081637D" w:rsidRPr="00253665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536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Points</w:t>
            </w:r>
          </w:p>
        </w:tc>
        <w:tc>
          <w:tcPr>
            <w:tcW w:w="347" w:type="dxa"/>
          </w:tcPr>
          <w:p w14:paraId="53C77C6B" w14:textId="77777777" w:rsidR="0081637D" w:rsidRPr="002E4ABB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2250" w:type="dxa"/>
          </w:tcPr>
          <w:p w14:paraId="26FCF468" w14:textId="77777777" w:rsidR="0081637D" w:rsidRPr="00253665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536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Accumulated Points</w:t>
            </w:r>
          </w:p>
        </w:tc>
        <w:tc>
          <w:tcPr>
            <w:tcW w:w="810" w:type="dxa"/>
          </w:tcPr>
          <w:p w14:paraId="513903F6" w14:textId="77777777" w:rsidR="0081637D" w:rsidRPr="00253665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5366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Grade</w:t>
            </w:r>
          </w:p>
        </w:tc>
      </w:tr>
      <w:tr w:rsidR="0081637D" w14:paraId="10F3679E" w14:textId="77777777" w:rsidTr="0081637D">
        <w:tc>
          <w:tcPr>
            <w:tcW w:w="1787" w:type="dxa"/>
          </w:tcPr>
          <w:p w14:paraId="7645E490" w14:textId="0A5505BF" w:rsidR="0081637D" w:rsidRDefault="00241638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Tax Returns (2)</w:t>
            </w:r>
          </w:p>
        </w:tc>
        <w:tc>
          <w:tcPr>
            <w:tcW w:w="921" w:type="dxa"/>
          </w:tcPr>
          <w:p w14:paraId="725E5B53" w14:textId="45D8DD4C" w:rsidR="0081637D" w:rsidRDefault="00241638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47" w:type="dxa"/>
          </w:tcPr>
          <w:p w14:paraId="28E27877" w14:textId="77777777" w:rsidR="0081637D" w:rsidRPr="002E4ABB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2250" w:type="dxa"/>
          </w:tcPr>
          <w:p w14:paraId="133423B5" w14:textId="77777777" w:rsidR="0081637D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&gt;=900</w:t>
            </w:r>
          </w:p>
        </w:tc>
        <w:tc>
          <w:tcPr>
            <w:tcW w:w="810" w:type="dxa"/>
          </w:tcPr>
          <w:p w14:paraId="524A8C40" w14:textId="77777777" w:rsidR="0081637D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81637D" w14:paraId="15DFD60B" w14:textId="77777777" w:rsidTr="0081637D">
        <w:tc>
          <w:tcPr>
            <w:tcW w:w="1787" w:type="dxa"/>
          </w:tcPr>
          <w:p w14:paraId="64DACF3E" w14:textId="301872DB" w:rsidR="0081637D" w:rsidRDefault="00241638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Homework Avg.</w:t>
            </w:r>
          </w:p>
        </w:tc>
        <w:tc>
          <w:tcPr>
            <w:tcW w:w="921" w:type="dxa"/>
          </w:tcPr>
          <w:p w14:paraId="394D7C3A" w14:textId="02E6E85E" w:rsidR="0081637D" w:rsidRDefault="00241638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347" w:type="dxa"/>
          </w:tcPr>
          <w:p w14:paraId="6CA39CD4" w14:textId="77777777" w:rsidR="0081637D" w:rsidRPr="002E4ABB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2250" w:type="dxa"/>
          </w:tcPr>
          <w:p w14:paraId="5BC45019" w14:textId="77777777" w:rsidR="0081637D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800-899</w:t>
            </w:r>
          </w:p>
        </w:tc>
        <w:tc>
          <w:tcPr>
            <w:tcW w:w="810" w:type="dxa"/>
          </w:tcPr>
          <w:p w14:paraId="1541BC41" w14:textId="77777777" w:rsidR="0081637D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81637D" w14:paraId="43402300" w14:textId="77777777" w:rsidTr="0081637D">
        <w:tc>
          <w:tcPr>
            <w:tcW w:w="1787" w:type="dxa"/>
          </w:tcPr>
          <w:p w14:paraId="472321F6" w14:textId="1B46BBED" w:rsidR="0081637D" w:rsidRDefault="00241638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Exam 1</w:t>
            </w:r>
          </w:p>
        </w:tc>
        <w:tc>
          <w:tcPr>
            <w:tcW w:w="921" w:type="dxa"/>
          </w:tcPr>
          <w:p w14:paraId="29DABC86" w14:textId="71F0FDD0" w:rsidR="0081637D" w:rsidRDefault="00241638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347" w:type="dxa"/>
          </w:tcPr>
          <w:p w14:paraId="477F3892" w14:textId="77777777" w:rsidR="0081637D" w:rsidRPr="002E4ABB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2250" w:type="dxa"/>
          </w:tcPr>
          <w:p w14:paraId="76AA1559" w14:textId="77777777" w:rsidR="0081637D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700-799</w:t>
            </w:r>
          </w:p>
        </w:tc>
        <w:tc>
          <w:tcPr>
            <w:tcW w:w="810" w:type="dxa"/>
          </w:tcPr>
          <w:p w14:paraId="7601EF24" w14:textId="77777777" w:rsidR="0081637D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81637D" w14:paraId="459C1E64" w14:textId="77777777" w:rsidTr="0081637D">
        <w:tc>
          <w:tcPr>
            <w:tcW w:w="1787" w:type="dxa"/>
          </w:tcPr>
          <w:p w14:paraId="0E8B98A3" w14:textId="2D804A67" w:rsidR="0081637D" w:rsidRDefault="009B2BA7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Exam </w:t>
            </w:r>
            <w:r w:rsidR="0024163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14:paraId="1C6B4C54" w14:textId="401049E1" w:rsidR="0081637D" w:rsidRDefault="00241638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347" w:type="dxa"/>
          </w:tcPr>
          <w:p w14:paraId="5B5C054F" w14:textId="77777777" w:rsidR="0081637D" w:rsidRPr="002E4ABB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2250" w:type="dxa"/>
          </w:tcPr>
          <w:p w14:paraId="74449CE2" w14:textId="77777777" w:rsidR="0081637D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600-699</w:t>
            </w:r>
          </w:p>
        </w:tc>
        <w:tc>
          <w:tcPr>
            <w:tcW w:w="810" w:type="dxa"/>
          </w:tcPr>
          <w:p w14:paraId="07438D9B" w14:textId="77777777" w:rsidR="0081637D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81637D" w14:paraId="50EF10B9" w14:textId="77777777" w:rsidTr="0081637D">
        <w:tc>
          <w:tcPr>
            <w:tcW w:w="1787" w:type="dxa"/>
          </w:tcPr>
          <w:p w14:paraId="1146CD2E" w14:textId="2F0E1442" w:rsidR="0081637D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Exam </w:t>
            </w:r>
            <w:r w:rsidR="0024163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14:paraId="643A11EF" w14:textId="3F3D1A61" w:rsidR="0081637D" w:rsidRDefault="00241638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347" w:type="dxa"/>
          </w:tcPr>
          <w:p w14:paraId="22CEEED1" w14:textId="77777777" w:rsidR="0081637D" w:rsidRPr="002E4ABB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2250" w:type="dxa"/>
          </w:tcPr>
          <w:p w14:paraId="77AC9E77" w14:textId="77777777" w:rsidR="0081637D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&lt;600</w:t>
            </w:r>
          </w:p>
        </w:tc>
        <w:tc>
          <w:tcPr>
            <w:tcW w:w="810" w:type="dxa"/>
          </w:tcPr>
          <w:p w14:paraId="34483391" w14:textId="77777777" w:rsidR="0081637D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</w:tr>
      <w:tr w:rsidR="0081637D" w14:paraId="0B029BFE" w14:textId="77777777" w:rsidTr="0081637D">
        <w:tc>
          <w:tcPr>
            <w:tcW w:w="1787" w:type="dxa"/>
          </w:tcPr>
          <w:p w14:paraId="7E617B3F" w14:textId="2BDDA917" w:rsidR="0081637D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Exam </w:t>
            </w:r>
            <w:r w:rsidR="0024163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14:paraId="7CC20B41" w14:textId="32AB0024" w:rsidR="0081637D" w:rsidRDefault="00241638" w:rsidP="00253665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347" w:type="dxa"/>
          </w:tcPr>
          <w:p w14:paraId="3B36C80E" w14:textId="77777777" w:rsidR="0081637D" w:rsidRPr="002E4ABB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2250" w:type="dxa"/>
          </w:tcPr>
          <w:p w14:paraId="3FA59C46" w14:textId="77777777" w:rsidR="0081637D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F690571" w14:textId="77777777" w:rsidR="0081637D" w:rsidRDefault="0081637D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638" w14:paraId="668696ED" w14:textId="77777777" w:rsidTr="0081637D">
        <w:tc>
          <w:tcPr>
            <w:tcW w:w="1787" w:type="dxa"/>
          </w:tcPr>
          <w:p w14:paraId="703E680E" w14:textId="44285775" w:rsidR="00241638" w:rsidRDefault="00241638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Paper</w:t>
            </w:r>
          </w:p>
        </w:tc>
        <w:tc>
          <w:tcPr>
            <w:tcW w:w="921" w:type="dxa"/>
          </w:tcPr>
          <w:p w14:paraId="252AC9EA" w14:textId="2DFB5A9B" w:rsidR="00241638" w:rsidRDefault="00241638" w:rsidP="00253665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47" w:type="dxa"/>
          </w:tcPr>
          <w:p w14:paraId="7590CDFA" w14:textId="77777777" w:rsidR="00241638" w:rsidRPr="002E4ABB" w:rsidRDefault="00241638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2250" w:type="dxa"/>
          </w:tcPr>
          <w:p w14:paraId="4F3AE3F5" w14:textId="77777777" w:rsidR="00241638" w:rsidRDefault="00241638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481CD3" w14:textId="77777777" w:rsidR="00241638" w:rsidRDefault="00241638" w:rsidP="00C0418F">
            <w:pPr>
              <w:pStyle w:val="WP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E66DC4" w14:textId="77777777" w:rsidR="00C0418F" w:rsidRDefault="00C0418F" w:rsidP="00C0418F">
      <w:pPr>
        <w:pStyle w:val="WPNormal"/>
        <w:ind w:left="720"/>
        <w:rPr>
          <w:rFonts w:asciiTheme="minorHAnsi" w:hAnsiTheme="minorHAnsi" w:cstheme="minorHAnsi"/>
          <w:sz w:val="22"/>
          <w:szCs w:val="22"/>
        </w:rPr>
      </w:pPr>
    </w:p>
    <w:p w14:paraId="0EC442E5" w14:textId="77777777" w:rsidR="004E15CE" w:rsidRPr="00197D5B" w:rsidRDefault="004E15CE" w:rsidP="003C1E51">
      <w:pPr>
        <w:spacing w:after="0"/>
        <w:rPr>
          <w:b/>
          <w:u w:val="single"/>
        </w:rPr>
      </w:pPr>
      <w:r w:rsidRPr="00197D5B">
        <w:rPr>
          <w:b/>
          <w:u w:val="single"/>
        </w:rPr>
        <w:t xml:space="preserve">Information that must appear in each course syllabus: </w:t>
      </w:r>
    </w:p>
    <w:p w14:paraId="1A470EA1" w14:textId="77777777" w:rsidR="004E15CE" w:rsidRPr="00197D5B" w:rsidRDefault="004E15CE" w:rsidP="004E15CE">
      <w:r w:rsidRPr="00197D5B">
        <w:t xml:space="preserve">Includes UT Tyler Honor Code, Student Rights and Responsibilities, Campus Carry, </w:t>
      </w:r>
      <w:r w:rsidR="003C1E51" w:rsidRPr="00197D5B">
        <w:t>Tobacco</w:t>
      </w:r>
      <w:r w:rsidRPr="00197D5B">
        <w:t xml:space="preserve">-Free University, Grade Replacement Policies, Course Drop Policies, Disability Services, Absences due to religious observances and university sponsored events, SS and FERPA, Evacuation, Student Standards of Conduct, and other resources). </w:t>
      </w:r>
    </w:p>
    <w:p w14:paraId="3308FC3F" w14:textId="77777777" w:rsidR="004E15CE" w:rsidRDefault="00604B82" w:rsidP="004E15CE">
      <w:pPr>
        <w:rPr>
          <w:rStyle w:val="Hyperlink"/>
          <w:b/>
        </w:rPr>
      </w:pPr>
      <w:hyperlink r:id="rId9" w:history="1">
        <w:r w:rsidR="004E15CE" w:rsidRPr="0076630E">
          <w:rPr>
            <w:rStyle w:val="Hyperlink"/>
            <w:b/>
          </w:rPr>
          <w:t>http://www.uttyler.edu/academicaffairs/files/syllabuspolicy.pdf</w:t>
        </w:r>
      </w:hyperlink>
    </w:p>
    <w:p w14:paraId="7AC1DAD8" w14:textId="77777777" w:rsidR="00A37D7D" w:rsidRPr="00625ED7" w:rsidRDefault="00A37D7D" w:rsidP="00A37D7D">
      <w:pPr>
        <w:spacing w:after="0"/>
        <w:rPr>
          <w:b/>
          <w:color w:val="0563C1" w:themeColor="hyperlink"/>
          <w:u w:val="single"/>
        </w:rPr>
      </w:pPr>
      <w:r>
        <w:rPr>
          <w:rFonts w:ascii="Calibri" w:hAnsi="Calibri" w:cs="Calibri"/>
          <w:b/>
          <w:color w:val="000000"/>
        </w:rPr>
        <w:t>C</w:t>
      </w:r>
      <w:r w:rsidRPr="00087FE6">
        <w:rPr>
          <w:rFonts w:ascii="Calibri" w:hAnsi="Calibri" w:cs="Calibri"/>
          <w:b/>
          <w:color w:val="000000"/>
        </w:rPr>
        <w:t>opyrights</w:t>
      </w:r>
      <w:r>
        <w:rPr>
          <w:rFonts w:ascii="Calibri" w:hAnsi="Calibri" w:cs="Calibri"/>
          <w:b/>
          <w:color w:val="000000"/>
        </w:rPr>
        <w:t xml:space="preserve"> </w:t>
      </w:r>
    </w:p>
    <w:p w14:paraId="79F58820" w14:textId="77777777" w:rsidR="00A37D7D" w:rsidRDefault="00A37D7D" w:rsidP="00A37D7D">
      <w:pPr>
        <w:pStyle w:val="NormalWeb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  <w:sz w:val="21"/>
          <w:szCs w:val="21"/>
        </w:rPr>
      </w:pPr>
      <w:r w:rsidRPr="00087FE6">
        <w:rPr>
          <w:rFonts w:ascii="Arial" w:hAnsi="Arial" w:cs="Arial"/>
          <w:color w:val="333333"/>
          <w:sz w:val="21"/>
          <w:szCs w:val="21"/>
        </w:rPr>
        <w:t>Unauthorized distribution of copyrighted material may subject students to civil and criminal penalties under the Federal Copyright law</w:t>
      </w:r>
      <w:r>
        <w:rPr>
          <w:rFonts w:ascii="Arial" w:hAnsi="Arial" w:cs="Arial"/>
          <w:color w:val="333333"/>
          <w:sz w:val="21"/>
          <w:szCs w:val="21"/>
        </w:rPr>
        <w:t>. The University of Texas System maintains its copyright policy at </w:t>
      </w:r>
      <w:hyperlink r:id="rId10" w:history="1">
        <w:r>
          <w:rPr>
            <w:rStyle w:val="Hyperlink"/>
            <w:rFonts w:ascii="Arial" w:hAnsi="Arial" w:cs="Arial"/>
            <w:color w:val="00529A"/>
            <w:sz w:val="21"/>
            <w:szCs w:val="21"/>
          </w:rPr>
          <w:t>UTS107</w:t>
        </w:r>
      </w:hyperlink>
      <w:r>
        <w:rPr>
          <w:rFonts w:ascii="Arial" w:hAnsi="Arial" w:cs="Arial"/>
          <w:color w:val="333333"/>
          <w:sz w:val="21"/>
          <w:szCs w:val="21"/>
        </w:rPr>
        <w:t>, "Use of Copyrighted Materials." If you are a member of a UT institution community (faculty, staff, or student), click the appropriate link to view frequently-used </w:t>
      </w:r>
      <w:hyperlink r:id="rId11" w:history="1">
        <w:r>
          <w:rPr>
            <w:rStyle w:val="Hyperlink"/>
            <w:rFonts w:ascii="Arial" w:hAnsi="Arial" w:cs="Arial"/>
            <w:color w:val="00529A"/>
            <w:sz w:val="21"/>
            <w:szCs w:val="21"/>
          </w:rPr>
          <w:t>copyright agreements</w:t>
        </w:r>
      </w:hyperlink>
      <w:r>
        <w:rPr>
          <w:rFonts w:ascii="Arial" w:hAnsi="Arial" w:cs="Arial"/>
          <w:color w:val="333333"/>
          <w:sz w:val="21"/>
          <w:szCs w:val="21"/>
        </w:rPr>
        <w:t>, </w:t>
      </w:r>
      <w:hyperlink r:id="rId12" w:history="1">
        <w:r>
          <w:rPr>
            <w:rStyle w:val="Hyperlink"/>
            <w:rFonts w:ascii="Arial" w:hAnsi="Arial" w:cs="Arial"/>
            <w:color w:val="00529A"/>
            <w:sz w:val="21"/>
            <w:szCs w:val="21"/>
          </w:rPr>
          <w:t>courseware agreements</w:t>
        </w:r>
      </w:hyperlink>
      <w:r>
        <w:rPr>
          <w:rFonts w:ascii="Arial" w:hAnsi="Arial" w:cs="Arial"/>
          <w:color w:val="333333"/>
          <w:sz w:val="21"/>
          <w:szCs w:val="21"/>
        </w:rPr>
        <w:t>, and </w:t>
      </w:r>
      <w:hyperlink r:id="rId13" w:history="1">
        <w:r>
          <w:rPr>
            <w:rStyle w:val="Hyperlink"/>
            <w:rFonts w:ascii="Arial" w:hAnsi="Arial" w:cs="Arial"/>
            <w:color w:val="00529A"/>
            <w:sz w:val="21"/>
            <w:szCs w:val="21"/>
          </w:rPr>
          <w:t>software standard agreements</w:t>
        </w:r>
      </w:hyperlink>
      <w:r>
        <w:rPr>
          <w:rFonts w:ascii="Arial" w:hAnsi="Arial" w:cs="Arial"/>
          <w:color w:val="333333"/>
          <w:sz w:val="21"/>
          <w:szCs w:val="21"/>
        </w:rPr>
        <w:t>. Because copyright law is fluid, evolving, and fact-specific, contact an attorney for assistance on particular issues. UT institution community members may contact the </w:t>
      </w:r>
      <w:hyperlink r:id="rId14" w:history="1">
        <w:r>
          <w:rPr>
            <w:rStyle w:val="Hyperlink"/>
            <w:rFonts w:ascii="Arial" w:hAnsi="Arial" w:cs="Arial"/>
            <w:color w:val="00529A"/>
            <w:sz w:val="21"/>
            <w:szCs w:val="21"/>
          </w:rPr>
          <w:t>Office of General Counsel</w:t>
        </w:r>
      </w:hyperlink>
      <w:r>
        <w:rPr>
          <w:rFonts w:ascii="Arial" w:hAnsi="Arial" w:cs="Arial"/>
          <w:color w:val="333333"/>
          <w:sz w:val="21"/>
          <w:szCs w:val="21"/>
        </w:rPr>
        <w:t> for guidance.</w:t>
      </w:r>
    </w:p>
    <w:p w14:paraId="5B7436F9" w14:textId="77777777" w:rsidR="00A37D7D" w:rsidRDefault="00A37D7D" w:rsidP="00A37D7D">
      <w:r w:rsidRPr="006711C5">
        <w:rPr>
          <w:b/>
        </w:rPr>
        <w:t xml:space="preserve">Links to the UT Tyler Writing Center and to the Purdue University Online Writing Lab (OWL). </w:t>
      </w:r>
    </w:p>
    <w:p w14:paraId="146DD855" w14:textId="77777777" w:rsidR="00A37D7D" w:rsidRDefault="00A37D7D" w:rsidP="002C7A75">
      <w:pPr>
        <w:spacing w:after="0"/>
      </w:pPr>
      <w:r>
        <w:t>Students are encouraged to use the resources for instruction on grammar, punctuation, style, formatting and citation.</w:t>
      </w:r>
      <w:r w:rsidR="002C7A75">
        <w:t xml:space="preserve"> </w:t>
      </w:r>
      <w:hyperlink r:id="rId15" w:history="1">
        <w:r>
          <w:rPr>
            <w:rStyle w:val="Hyperlink"/>
          </w:rPr>
          <w:t>www.uttyler.edu/writingcenter/</w:t>
        </w:r>
      </w:hyperlink>
      <w:r w:rsidR="002C7A75">
        <w:rPr>
          <w:rStyle w:val="Hyperlink"/>
        </w:rPr>
        <w:t xml:space="preserve">  </w:t>
      </w:r>
    </w:p>
    <w:p w14:paraId="5511019B" w14:textId="77777777" w:rsidR="00A37D7D" w:rsidRDefault="00604B82" w:rsidP="00A37D7D">
      <w:hyperlink r:id="rId16" w:history="1">
        <w:r w:rsidR="00A37D7D">
          <w:rPr>
            <w:rStyle w:val="Hyperlink"/>
          </w:rPr>
          <w:t>https://owl.english.purdue.edu/owl</w:t>
        </w:r>
      </w:hyperlink>
    </w:p>
    <w:p w14:paraId="08777127" w14:textId="35EE9DD9" w:rsidR="00790819" w:rsidRPr="00940FEE" w:rsidRDefault="00940FEE" w:rsidP="002C7A75">
      <w:pPr>
        <w:spacing w:after="0"/>
        <w:rPr>
          <w:b/>
          <w:sz w:val="24"/>
          <w:szCs w:val="24"/>
          <w:u w:val="single"/>
        </w:rPr>
      </w:pPr>
      <w:r w:rsidRPr="00940FEE">
        <w:rPr>
          <w:b/>
          <w:sz w:val="24"/>
          <w:szCs w:val="24"/>
          <w:u w:val="single"/>
        </w:rPr>
        <w:lastRenderedPageBreak/>
        <w:t>C</w:t>
      </w:r>
      <w:r w:rsidR="00A37D7D">
        <w:rPr>
          <w:b/>
          <w:sz w:val="24"/>
          <w:szCs w:val="24"/>
          <w:u w:val="single"/>
        </w:rPr>
        <w:t>lass Schedule for ACCT 332</w:t>
      </w:r>
      <w:r w:rsidR="00022E9C">
        <w:rPr>
          <w:b/>
          <w:sz w:val="24"/>
          <w:szCs w:val="24"/>
          <w:u w:val="single"/>
        </w:rPr>
        <w:t xml:space="preserve">6 </w:t>
      </w:r>
    </w:p>
    <w:p w14:paraId="693C9079" w14:textId="6CB561FC" w:rsidR="00940FEE" w:rsidRDefault="00940FEE" w:rsidP="002C7A75">
      <w:pPr>
        <w:spacing w:after="0"/>
        <w:rPr>
          <w:b/>
          <w:sz w:val="24"/>
          <w:szCs w:val="24"/>
        </w:rPr>
      </w:pPr>
      <w:r w:rsidRPr="00A37D7D">
        <w:rPr>
          <w:b/>
          <w:sz w:val="24"/>
          <w:szCs w:val="24"/>
          <w:highlight w:val="yellow"/>
        </w:rPr>
        <w:t>Due dates or assignments/exams may be chang</w:t>
      </w:r>
      <w:r w:rsidR="00A37D7D">
        <w:rPr>
          <w:b/>
          <w:sz w:val="24"/>
          <w:szCs w:val="24"/>
          <w:highlight w:val="yellow"/>
        </w:rPr>
        <w:t>ed at any time by the professor and will be announced via</w:t>
      </w:r>
      <w:r w:rsidR="00A37D7D" w:rsidRPr="00A37D7D">
        <w:rPr>
          <w:b/>
          <w:sz w:val="24"/>
          <w:szCs w:val="24"/>
          <w:highlight w:val="yellow"/>
        </w:rPr>
        <w:t xml:space="preserve"> Canvas announcement at least one week prior.</w:t>
      </w:r>
      <w:r w:rsidRPr="00940FEE">
        <w:rPr>
          <w:b/>
          <w:sz w:val="24"/>
          <w:szCs w:val="24"/>
        </w:rPr>
        <w:t xml:space="preserve">  </w:t>
      </w:r>
    </w:p>
    <w:p w14:paraId="537F71B5" w14:textId="544BA4D5" w:rsidR="002C7A75" w:rsidRDefault="0071570D" w:rsidP="009A2D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can see </w:t>
      </w:r>
      <w:r w:rsidR="002C7A75">
        <w:rPr>
          <w:b/>
          <w:sz w:val="24"/>
          <w:szCs w:val="24"/>
        </w:rPr>
        <w:t>homework due dates</w:t>
      </w:r>
      <w:r>
        <w:rPr>
          <w:b/>
          <w:sz w:val="24"/>
          <w:szCs w:val="24"/>
        </w:rPr>
        <w:t xml:space="preserve"> in Cengage as well</w:t>
      </w:r>
      <w:r w:rsidR="002C7A75">
        <w:rPr>
          <w:b/>
          <w:sz w:val="24"/>
          <w:szCs w:val="24"/>
        </w:rPr>
        <w:t xml:space="preserve">.  </w:t>
      </w:r>
    </w:p>
    <w:tbl>
      <w:tblPr>
        <w:tblW w:w="7820" w:type="dxa"/>
        <w:tblLook w:val="04A0" w:firstRow="1" w:lastRow="0" w:firstColumn="1" w:lastColumn="0" w:noHBand="0" w:noVBand="1"/>
      </w:tblPr>
      <w:tblGrid>
        <w:gridCol w:w="1020"/>
        <w:gridCol w:w="1053"/>
        <w:gridCol w:w="1167"/>
        <w:gridCol w:w="4580"/>
      </w:tblGrid>
      <w:tr w:rsidR="00257D11" w:rsidRPr="00257D11" w14:paraId="6F3AC7D9" w14:textId="77777777" w:rsidTr="00687B6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3140AB60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Week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4D8E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0597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7D39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Topic/Assignment</w:t>
            </w:r>
          </w:p>
        </w:tc>
      </w:tr>
      <w:tr w:rsidR="00257D11" w:rsidRPr="00257D11" w14:paraId="4F2992F2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CF5C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Week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DC41" w14:textId="359CB5CA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  <w:r w:rsidR="001A113A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8FAA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5/11/2020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55E3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Ch 1 Tax law &amp; research</w:t>
            </w:r>
          </w:p>
        </w:tc>
      </w:tr>
      <w:tr w:rsidR="00257D11" w:rsidRPr="00257D11" w14:paraId="38089F9A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3193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77D9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7016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D4EF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Ch 3 Corporations Intro</w:t>
            </w:r>
          </w:p>
        </w:tc>
      </w:tr>
      <w:tr w:rsidR="00257D11" w:rsidRPr="00257D11" w14:paraId="26EBF832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BB6D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0E54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7C2B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5/17/2020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3452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Ch 1 &amp; 3 homework due</w:t>
            </w:r>
          </w:p>
        </w:tc>
      </w:tr>
      <w:tr w:rsidR="00257D11" w:rsidRPr="00257D11" w14:paraId="099D6A55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57CD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31CF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9FFA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0220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7D11" w:rsidRPr="00257D11" w14:paraId="4E837363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F726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Week 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5675" w14:textId="58A20710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  <w:r w:rsidR="001A113A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7E7A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5/18/2020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DC18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Ch 4 Corporations, cont.</w:t>
            </w:r>
          </w:p>
        </w:tc>
      </w:tr>
      <w:tr w:rsidR="00257D11" w:rsidRPr="00257D11" w14:paraId="39AA2B62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81AC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5BC2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E4C3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5/24/2020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EB06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Ch 4 homework due</w:t>
            </w:r>
          </w:p>
        </w:tc>
      </w:tr>
      <w:tr w:rsidR="00257D11" w:rsidRPr="00257D11" w14:paraId="32F17833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1F26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D8C3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7027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74AA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7D11" w:rsidRPr="00257D11" w14:paraId="2F328ACB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F937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Week 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B821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Sun/Mon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9B49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5/24 or 5/25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3F1C6F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EXAM 1  (Ch 1, 3, 4)</w:t>
            </w:r>
          </w:p>
        </w:tc>
      </w:tr>
      <w:tr w:rsidR="00257D11" w:rsidRPr="00257D11" w14:paraId="5CB60890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57A0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72B6" w14:textId="56673D31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  <w:r w:rsidR="001A113A">
              <w:rPr>
                <w:rFonts w:ascii="Calibri" w:eastAsia="Times New Roman" w:hAnsi="Calibri" w:cs="Calibri"/>
                <w:color w:val="000000"/>
              </w:rPr>
              <w:t>Tues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84EF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5/26/2020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B657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Ch 5 Corporations, cont.</w:t>
            </w:r>
          </w:p>
        </w:tc>
      </w:tr>
      <w:tr w:rsidR="00257D11" w:rsidRPr="00257D11" w14:paraId="339B8665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57F3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E4BD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E9DE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5/31/2020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E73B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Ch 5 homework due</w:t>
            </w:r>
          </w:p>
        </w:tc>
      </w:tr>
      <w:tr w:rsidR="00257D11" w:rsidRPr="00257D11" w14:paraId="426802E4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A0DD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25C2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7DD6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460C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7D11" w:rsidRPr="00257D11" w14:paraId="1FEFBCD6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B813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Week 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832C" w14:textId="258F769C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  <w:r w:rsidR="001A113A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19C3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6/1/2020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FB19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Ch 6 Corporations, cont.</w:t>
            </w:r>
          </w:p>
        </w:tc>
      </w:tr>
      <w:tr w:rsidR="00257D11" w:rsidRPr="00257D11" w14:paraId="6B57D290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248D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01A5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21A1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6/7/2020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2615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Ch 6 homework due</w:t>
            </w:r>
          </w:p>
        </w:tc>
      </w:tr>
      <w:tr w:rsidR="00257D11" w:rsidRPr="00257D11" w14:paraId="19DBB325" w14:textId="77777777" w:rsidTr="00DE776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BD79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98CE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619D0C79" w14:textId="6EB947B8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  <w:r w:rsidR="00DE776D">
              <w:rPr>
                <w:rFonts w:ascii="Calibri" w:eastAsia="Times New Roman" w:hAnsi="Calibri" w:cs="Calibri"/>
                <w:color w:val="000000"/>
              </w:rPr>
              <w:t>6/7/20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60F45E8A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Tax Return #1 DUE</w:t>
            </w:r>
          </w:p>
        </w:tc>
      </w:tr>
      <w:tr w:rsidR="00257D11" w:rsidRPr="00257D11" w14:paraId="1D4CE912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5235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84D6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C774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9271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7D11" w:rsidRPr="00257D11" w14:paraId="6030D5C2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204C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Week 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C565" w14:textId="1E3A9C6F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  <w:r w:rsidR="001A113A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9FF7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6/8/2020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8C43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Ch 17 Tax Practice and Ethics</w:t>
            </w:r>
          </w:p>
        </w:tc>
      </w:tr>
      <w:tr w:rsidR="00257D11" w:rsidRPr="00257D11" w14:paraId="77EEECA4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5123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8781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26E6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6/14/2020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0086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17 homework due</w:t>
            </w:r>
          </w:p>
        </w:tc>
      </w:tr>
      <w:tr w:rsidR="00257D11" w:rsidRPr="00257D11" w14:paraId="316E39AD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5939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AD1C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Sun/Mon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D700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6/14 or 6/15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0DEDF3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Exam 2 (ch 4, 5, 17)</w:t>
            </w:r>
          </w:p>
        </w:tc>
      </w:tr>
      <w:tr w:rsidR="00257D11" w:rsidRPr="00257D11" w14:paraId="052D4B97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76BE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36C7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75E5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8093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7D11" w:rsidRPr="00257D11" w14:paraId="167AFB72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9E92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Week 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2227" w14:textId="72D19B63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  <w:r w:rsidR="001A113A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0736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6/15/2020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82AD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 xml:space="preserve">Ch 10 Partnerships </w:t>
            </w:r>
          </w:p>
        </w:tc>
      </w:tr>
      <w:tr w:rsidR="00257D11" w:rsidRPr="00257D11" w14:paraId="5D668C7D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FAAA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12B8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D0D8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6/21/2020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CA8F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Ch 10 homework</w:t>
            </w:r>
          </w:p>
        </w:tc>
      </w:tr>
      <w:tr w:rsidR="00257D11" w:rsidRPr="00257D11" w14:paraId="57334C98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8E9F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433A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DD44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4156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7D11" w:rsidRPr="00257D11" w14:paraId="756CBB49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4094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Week 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540B" w14:textId="152D5F44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  <w:r w:rsidR="001A113A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0184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6/22/2020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DE6D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Ch 11 Partnerships</w:t>
            </w:r>
          </w:p>
        </w:tc>
      </w:tr>
      <w:tr w:rsidR="00257D11" w:rsidRPr="00257D11" w14:paraId="51DEE78C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C87E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760B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6FE4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6/28/2020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6D40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 xml:space="preserve">Ch 11 homework </w:t>
            </w:r>
          </w:p>
        </w:tc>
      </w:tr>
      <w:tr w:rsidR="00257D11" w:rsidRPr="00257D11" w14:paraId="46BCB46E" w14:textId="77777777" w:rsidTr="0025392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C1A5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C457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 xml:space="preserve">Sun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F893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6/28/2020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3B36F75E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Tax Return #2 DUE</w:t>
            </w:r>
          </w:p>
        </w:tc>
      </w:tr>
      <w:tr w:rsidR="00257D11" w:rsidRPr="00257D11" w14:paraId="7EE8BB2D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AD49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B4BD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B418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B2E5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7D11" w:rsidRPr="00257D11" w14:paraId="1C4732E5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B232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Week 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03F3" w14:textId="2AA1C83D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  <w:r w:rsidR="001A113A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6EAC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6/29/2020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DD1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Ch 12 S Corporations</w:t>
            </w:r>
          </w:p>
        </w:tc>
      </w:tr>
      <w:tr w:rsidR="00257D11" w:rsidRPr="00257D11" w14:paraId="654335CB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381B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5780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8E5C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7/5/2020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367E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Ch 12 homework</w:t>
            </w:r>
          </w:p>
        </w:tc>
      </w:tr>
      <w:tr w:rsidR="00257D11" w:rsidRPr="00257D11" w14:paraId="294A4A26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AB86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1A69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Sun/Mon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E2BE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7/5 or 7/6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2C807E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Exam 3 (ch 10,11,12)</w:t>
            </w:r>
          </w:p>
        </w:tc>
      </w:tr>
      <w:tr w:rsidR="00257D11" w:rsidRPr="00257D11" w14:paraId="5A112533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6E9F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82EF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D501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5A76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7D11" w:rsidRPr="00257D11" w14:paraId="17D0184C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088A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Week 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8F5D" w14:textId="4AA0B8FF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  <w:r w:rsidR="001A113A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DEF1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7/7/2020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9CA4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Ch 2 Section 199A</w:t>
            </w:r>
          </w:p>
        </w:tc>
      </w:tr>
      <w:tr w:rsidR="00257D11" w:rsidRPr="00257D11" w14:paraId="6F6A2577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D17C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4C87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9FA6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7/12/2020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7D84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Ch 2 homework</w:t>
            </w:r>
          </w:p>
        </w:tc>
      </w:tr>
      <w:tr w:rsidR="00257D11" w:rsidRPr="00257D11" w14:paraId="784271C6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3160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267C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517D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1EB9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7D11" w:rsidRPr="00257D11" w14:paraId="6A7FCB64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BF94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Week 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53FB" w14:textId="55C9A80D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  <w:r w:rsidR="001A113A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750A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7/13/2020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C498" w14:textId="008D4BE2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Ch 18 Federal Gift and Estate Taxes</w:t>
            </w:r>
            <w:r w:rsidR="00687B64">
              <w:rPr>
                <w:rFonts w:ascii="Calibri" w:eastAsia="Times New Roman" w:hAnsi="Calibri" w:cs="Calibri"/>
                <w:color w:val="000000"/>
              </w:rPr>
              <w:t xml:space="preserve"> &amp; Ch 20</w:t>
            </w:r>
          </w:p>
        </w:tc>
      </w:tr>
      <w:tr w:rsidR="00257D11" w:rsidRPr="00257D11" w14:paraId="79D5811B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A2CE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8CC2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B2BC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7/19/2020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C258" w14:textId="03E38CFD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Ch 18</w:t>
            </w:r>
            <w:r w:rsidR="00687B64">
              <w:rPr>
                <w:rFonts w:ascii="Calibri" w:eastAsia="Times New Roman" w:hAnsi="Calibri" w:cs="Calibri"/>
                <w:color w:val="000000"/>
              </w:rPr>
              <w:t xml:space="preserve"> &amp; 20</w:t>
            </w:r>
            <w:r w:rsidRPr="00257D11">
              <w:rPr>
                <w:rFonts w:ascii="Calibri" w:eastAsia="Times New Roman" w:hAnsi="Calibri" w:cs="Calibri"/>
                <w:color w:val="000000"/>
              </w:rPr>
              <w:t xml:space="preserve"> HW</w:t>
            </w:r>
            <w:r w:rsidR="00687B64">
              <w:rPr>
                <w:rFonts w:ascii="Calibri" w:eastAsia="Times New Roman" w:hAnsi="Calibri" w:cs="Calibri"/>
                <w:color w:val="000000"/>
              </w:rPr>
              <w:t xml:space="preserve"> (one assignment</w:t>
            </w:r>
          </w:p>
        </w:tc>
      </w:tr>
      <w:tr w:rsidR="00257D11" w:rsidRPr="00257D11" w14:paraId="72BC42E0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F288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F97E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FF15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BE32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7D11" w:rsidRPr="00257D11" w14:paraId="2FDB1BCD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8CDA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Week 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5C3D" w14:textId="6331D604" w:rsidR="00257D11" w:rsidRPr="00257D11" w:rsidRDefault="00687B64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87B64">
              <w:rPr>
                <w:rFonts w:ascii="Calibri" w:eastAsia="Times New Roman" w:hAnsi="Calibri" w:cs="Calibri"/>
                <w:color w:val="000000"/>
                <w:highlight w:val="yellow"/>
              </w:rPr>
              <w:t>Sat, Sun or Mon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7039" w14:textId="71DD6B1B" w:rsidR="00257D11" w:rsidRPr="00257D11" w:rsidRDefault="00687B64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87B64">
              <w:rPr>
                <w:rFonts w:ascii="Calibri" w:eastAsia="Times New Roman" w:hAnsi="Calibri" w:cs="Calibri"/>
                <w:color w:val="000000"/>
                <w:highlight w:val="yellow"/>
              </w:rPr>
              <w:t>7/25 or 7/26 or 7/27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E8F1" w14:textId="0BC8DBB0" w:rsidR="00257D11" w:rsidRPr="00257D11" w:rsidRDefault="00687B64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87B64">
              <w:rPr>
                <w:rFonts w:ascii="Calibri" w:eastAsia="Times New Roman" w:hAnsi="Calibri" w:cs="Calibri"/>
                <w:color w:val="000000"/>
                <w:highlight w:val="yellow"/>
              </w:rPr>
              <w:t>FINAL EXAM</w:t>
            </w:r>
          </w:p>
        </w:tc>
      </w:tr>
      <w:tr w:rsidR="00257D11" w:rsidRPr="00257D11" w14:paraId="521CF006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4E6F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AC52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57D11">
              <w:rPr>
                <w:rFonts w:ascii="Calibri" w:eastAsia="Times New Roman" w:hAnsi="Calibri" w:cs="Calibri"/>
                <w:color w:val="000000"/>
                <w:highlight w:val="yellow"/>
              </w:rPr>
              <w:t>Sun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C83D" w14:textId="77777777" w:rsidR="00257D11" w:rsidRPr="00257D11" w:rsidRDefault="00257D11" w:rsidP="0025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257D11">
              <w:rPr>
                <w:rFonts w:ascii="Calibri" w:eastAsia="Times New Roman" w:hAnsi="Calibri" w:cs="Calibri"/>
                <w:color w:val="000000"/>
                <w:highlight w:val="yellow"/>
              </w:rPr>
              <w:t>7/26/2020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AF11" w14:textId="782DCB52" w:rsidR="00257D11" w:rsidRPr="00257D11" w:rsidRDefault="00687B64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687B64">
              <w:rPr>
                <w:rFonts w:ascii="Calibri" w:eastAsia="Times New Roman" w:hAnsi="Calibri" w:cs="Calibri"/>
                <w:color w:val="000000"/>
                <w:highlight w:val="yellow"/>
              </w:rPr>
              <w:t>Paper Due</w:t>
            </w:r>
          </w:p>
        </w:tc>
      </w:tr>
      <w:tr w:rsidR="00257D11" w:rsidRPr="00257D11" w14:paraId="7DD61102" w14:textId="77777777" w:rsidTr="00687B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EFA5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6222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A058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42AF" w14:textId="77777777" w:rsidR="00257D11" w:rsidRPr="00257D11" w:rsidRDefault="00257D11" w:rsidP="0025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BA50C15" w14:textId="77777777" w:rsidR="001407E4" w:rsidRDefault="001407E4"/>
    <w:sectPr w:rsidR="0014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D3BD9"/>
    <w:multiLevelType w:val="hybridMultilevel"/>
    <w:tmpl w:val="8B88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F1CE2"/>
    <w:multiLevelType w:val="hybridMultilevel"/>
    <w:tmpl w:val="8DF0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2A"/>
    <w:rsid w:val="00022E9C"/>
    <w:rsid w:val="00030761"/>
    <w:rsid w:val="00073F46"/>
    <w:rsid w:val="0009235D"/>
    <w:rsid w:val="000B2A07"/>
    <w:rsid w:val="000C336C"/>
    <w:rsid w:val="000F429F"/>
    <w:rsid w:val="00114292"/>
    <w:rsid w:val="001225D5"/>
    <w:rsid w:val="00122861"/>
    <w:rsid w:val="00122A0B"/>
    <w:rsid w:val="001407E4"/>
    <w:rsid w:val="00143981"/>
    <w:rsid w:val="001464F7"/>
    <w:rsid w:val="00172D89"/>
    <w:rsid w:val="001808CC"/>
    <w:rsid w:val="001A113A"/>
    <w:rsid w:val="001D55D9"/>
    <w:rsid w:val="001E7651"/>
    <w:rsid w:val="00241638"/>
    <w:rsid w:val="0024393F"/>
    <w:rsid w:val="00253665"/>
    <w:rsid w:val="0025392A"/>
    <w:rsid w:val="00257D11"/>
    <w:rsid w:val="00265B5F"/>
    <w:rsid w:val="002705A3"/>
    <w:rsid w:val="00272A5D"/>
    <w:rsid w:val="002B61FB"/>
    <w:rsid w:val="002C1F7D"/>
    <w:rsid w:val="002C7069"/>
    <w:rsid w:val="002C7A75"/>
    <w:rsid w:val="002D0AC6"/>
    <w:rsid w:val="002E0F06"/>
    <w:rsid w:val="002E4ABB"/>
    <w:rsid w:val="002F534D"/>
    <w:rsid w:val="00323DD8"/>
    <w:rsid w:val="0033307C"/>
    <w:rsid w:val="003532C5"/>
    <w:rsid w:val="003748A8"/>
    <w:rsid w:val="003870A4"/>
    <w:rsid w:val="003C1E51"/>
    <w:rsid w:val="003D2518"/>
    <w:rsid w:val="003D48A3"/>
    <w:rsid w:val="004138F3"/>
    <w:rsid w:val="004230B2"/>
    <w:rsid w:val="00437E39"/>
    <w:rsid w:val="0048065E"/>
    <w:rsid w:val="004A15DF"/>
    <w:rsid w:val="004A4BCE"/>
    <w:rsid w:val="004E15CE"/>
    <w:rsid w:val="00532F67"/>
    <w:rsid w:val="00537C88"/>
    <w:rsid w:val="0059553F"/>
    <w:rsid w:val="005A4D42"/>
    <w:rsid w:val="005C35D0"/>
    <w:rsid w:val="005C4E62"/>
    <w:rsid w:val="005E320C"/>
    <w:rsid w:val="005E4B5B"/>
    <w:rsid w:val="00602A57"/>
    <w:rsid w:val="00604B82"/>
    <w:rsid w:val="006205EA"/>
    <w:rsid w:val="006402DE"/>
    <w:rsid w:val="006413C6"/>
    <w:rsid w:val="00643CBB"/>
    <w:rsid w:val="00687B64"/>
    <w:rsid w:val="00694531"/>
    <w:rsid w:val="006C3B62"/>
    <w:rsid w:val="006D06C9"/>
    <w:rsid w:val="006D0BF6"/>
    <w:rsid w:val="006D778E"/>
    <w:rsid w:val="006E61EF"/>
    <w:rsid w:val="00710192"/>
    <w:rsid w:val="007145AB"/>
    <w:rsid w:val="0071570D"/>
    <w:rsid w:val="00730DFD"/>
    <w:rsid w:val="00760C82"/>
    <w:rsid w:val="007614F6"/>
    <w:rsid w:val="00790819"/>
    <w:rsid w:val="007B0B53"/>
    <w:rsid w:val="007B74C2"/>
    <w:rsid w:val="008105F4"/>
    <w:rsid w:val="0081637D"/>
    <w:rsid w:val="008E234F"/>
    <w:rsid w:val="008F7F2A"/>
    <w:rsid w:val="0090380E"/>
    <w:rsid w:val="00940FEE"/>
    <w:rsid w:val="00963A2C"/>
    <w:rsid w:val="00994036"/>
    <w:rsid w:val="009A1656"/>
    <w:rsid w:val="009A2D65"/>
    <w:rsid w:val="009B2BA7"/>
    <w:rsid w:val="009F0FE8"/>
    <w:rsid w:val="00A0021B"/>
    <w:rsid w:val="00A3520D"/>
    <w:rsid w:val="00A37D7D"/>
    <w:rsid w:val="00A46E2A"/>
    <w:rsid w:val="00A741F7"/>
    <w:rsid w:val="00A8676E"/>
    <w:rsid w:val="00AA1F7C"/>
    <w:rsid w:val="00AC31BC"/>
    <w:rsid w:val="00B0676D"/>
    <w:rsid w:val="00BA19F1"/>
    <w:rsid w:val="00BB2D98"/>
    <w:rsid w:val="00C0418F"/>
    <w:rsid w:val="00C848C1"/>
    <w:rsid w:val="00C93061"/>
    <w:rsid w:val="00CA017D"/>
    <w:rsid w:val="00CA04CD"/>
    <w:rsid w:val="00CA11C9"/>
    <w:rsid w:val="00CC4E85"/>
    <w:rsid w:val="00CC6A5B"/>
    <w:rsid w:val="00CD5BEB"/>
    <w:rsid w:val="00CE61A0"/>
    <w:rsid w:val="00D175A2"/>
    <w:rsid w:val="00D35BA3"/>
    <w:rsid w:val="00D54A5F"/>
    <w:rsid w:val="00D5573D"/>
    <w:rsid w:val="00D9700D"/>
    <w:rsid w:val="00DB4B21"/>
    <w:rsid w:val="00DE776D"/>
    <w:rsid w:val="00DF1C55"/>
    <w:rsid w:val="00E9280A"/>
    <w:rsid w:val="00EB0772"/>
    <w:rsid w:val="00EB14AF"/>
    <w:rsid w:val="00EB4770"/>
    <w:rsid w:val="00EB7FA5"/>
    <w:rsid w:val="00EC16FF"/>
    <w:rsid w:val="00EE7A43"/>
    <w:rsid w:val="00F32219"/>
    <w:rsid w:val="00F372F3"/>
    <w:rsid w:val="00F5280A"/>
    <w:rsid w:val="00F61F19"/>
    <w:rsid w:val="00F800F6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08DB"/>
  <w15:chartTrackingRefBased/>
  <w15:docId w15:val="{63A9D0B5-DA2C-4057-83A9-11DD966D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8F7F2A"/>
    <w:pPr>
      <w:spacing w:after="0" w:line="240" w:lineRule="auto"/>
    </w:pPr>
    <w:rPr>
      <w:rFonts w:ascii="Monaco" w:eastAsia="Times New Roman" w:hAnsi="Monaco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F7F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F2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odytext">
    <w:name w:val="bodytext"/>
    <w:basedOn w:val="Normal"/>
    <w:rsid w:val="00D9700D"/>
    <w:pPr>
      <w:spacing w:before="120" w:after="60" w:line="240" w:lineRule="auto"/>
      <w:textAlignment w:val="baseline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subheading3">
    <w:name w:val="subheading3"/>
    <w:basedOn w:val="Normal"/>
    <w:rsid w:val="00D9700D"/>
    <w:pPr>
      <w:spacing w:before="120" w:after="120" w:line="240" w:lineRule="auto"/>
      <w:textAlignment w:val="baseline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table" w:styleId="TableGrid">
    <w:name w:val="Table Grid"/>
    <w:basedOn w:val="TableNormal"/>
    <w:uiPriority w:val="39"/>
    <w:rsid w:val="0025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EYNOLDS@UTTYLER.EDU" TargetMode="External"/><Relationship Id="rId13" Type="http://schemas.openxmlformats.org/officeDocument/2006/relationships/hyperlink" Target="https://www.utsystem.edu/node/1451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tsystem.edu/node/1450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wl.english.purdue.edu/ow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tsystem.edu/node/14501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ttyler.edu/writingcenter/" TargetMode="External"/><Relationship Id="rId10" Type="http://schemas.openxmlformats.org/officeDocument/2006/relationships/hyperlink" Target="https://www.utsystem.edu/node/362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ttyler.edu/academicaffairs/files/syllabuspolicy.pdf" TargetMode="External"/><Relationship Id="rId14" Type="http://schemas.openxmlformats.org/officeDocument/2006/relationships/hyperlink" Target="mailto:ogc-ip@utsyst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B95643D18214D870D183E7B9EA1FC" ma:contentTypeVersion="10" ma:contentTypeDescription="Create a new document." ma:contentTypeScope="" ma:versionID="b1c65cf08c1cd77dea874f4d9aa2b3e4">
  <xsd:schema xmlns:xsd="http://www.w3.org/2001/XMLSchema" xmlns:xs="http://www.w3.org/2001/XMLSchema" xmlns:p="http://schemas.microsoft.com/office/2006/metadata/properties" xmlns:ns1="http://schemas.microsoft.com/sharepoint/v3" xmlns:ns3="6627c50e-4a99-472d-9574-d4104db5b29f" targetNamespace="http://schemas.microsoft.com/office/2006/metadata/properties" ma:root="true" ma:fieldsID="da6e2bd6f40f52d8ea20c30e06a08e8e" ns1:_="" ns3:_="">
    <xsd:import namespace="http://schemas.microsoft.com/sharepoint/v3"/>
    <xsd:import namespace="6627c50e-4a99-472d-9574-d4104db5b2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c50e-4a99-472d-9574-d4104db5b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DE0AC0-86F6-4D55-A821-E73B692B1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C1EB2-98FC-4E8E-86D3-10245E307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27c50e-4a99-472d-9574-d4104db5b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70192-A62B-4A33-992C-EE9368DDEE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Reynolds</dc:creator>
  <cp:keywords/>
  <dc:description/>
  <cp:lastModifiedBy>Jackie</cp:lastModifiedBy>
  <cp:revision>2</cp:revision>
  <cp:lastPrinted>2018-08-16T18:45:00Z</cp:lastPrinted>
  <dcterms:created xsi:type="dcterms:W3CDTF">2020-07-03T15:11:00Z</dcterms:created>
  <dcterms:modified xsi:type="dcterms:W3CDTF">2020-07-03T15:11:00Z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0x0101003E4B95643D18214D870D183E7B9EA1FC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