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EB8D7" w14:textId="77777777" w:rsidR="004B025A" w:rsidRDefault="0056496D" w:rsidP="004B025A">
      <w:pPr>
        <w:jc w:val="center"/>
      </w:pPr>
      <w:r w:rsidRPr="0056496D">
        <w:t>The University of Texas at Tyler</w:t>
      </w:r>
    </w:p>
    <w:p w14:paraId="63361121" w14:textId="77777777" w:rsidR="004B025A" w:rsidRDefault="000541C4" w:rsidP="00D623E2">
      <w:pPr>
        <w:jc w:val="center"/>
      </w:pPr>
      <w:r>
        <w:t>Soules College of Business</w:t>
      </w:r>
    </w:p>
    <w:p w14:paraId="2C3C171A" w14:textId="77777777" w:rsidR="002D60AC" w:rsidRDefault="002D60AC" w:rsidP="00D623E2">
      <w:pPr>
        <w:jc w:val="center"/>
      </w:pPr>
    </w:p>
    <w:p w14:paraId="184EFA71" w14:textId="77777777" w:rsidR="004B025A" w:rsidRDefault="00B2759D" w:rsidP="004B025A">
      <w:pPr>
        <w:jc w:val="center"/>
      </w:pPr>
      <w:r>
        <w:t xml:space="preserve">FINA </w:t>
      </w:r>
      <w:r w:rsidR="00D408BB">
        <w:t>4355/5355</w:t>
      </w:r>
      <w:r w:rsidR="004B025A">
        <w:t xml:space="preserve">: </w:t>
      </w:r>
      <w:r w:rsidR="00D408BB">
        <w:t>Oil, Gas and Energy</w:t>
      </w:r>
      <w:r w:rsidR="004B025A">
        <w:t xml:space="preserve"> Finance</w:t>
      </w:r>
    </w:p>
    <w:p w14:paraId="28EA8B28" w14:textId="3E780959" w:rsidR="004B025A" w:rsidRDefault="000D3393" w:rsidP="004B025A">
      <w:pPr>
        <w:jc w:val="center"/>
      </w:pPr>
      <w:r>
        <w:t>Spring 2020</w:t>
      </w:r>
    </w:p>
    <w:p w14:paraId="48E949A8" w14:textId="185C3F9F" w:rsidR="00117240" w:rsidRPr="00117240" w:rsidRDefault="00117240" w:rsidP="00117240">
      <w:pPr>
        <w:jc w:val="center"/>
      </w:pPr>
      <w:r w:rsidRPr="00117240">
        <w:t>Section</w:t>
      </w:r>
      <w:r w:rsidR="002B5DE3">
        <w:t>s</w:t>
      </w:r>
      <w:r w:rsidR="002E315A">
        <w:t xml:space="preserve"> </w:t>
      </w:r>
      <w:r>
        <w:t>0</w:t>
      </w:r>
      <w:r w:rsidR="00701A7A">
        <w:t>6</w:t>
      </w:r>
      <w:r w:rsidR="00587E9A">
        <w:t>0</w:t>
      </w:r>
      <w:r w:rsidR="007C2932">
        <w:t xml:space="preserve"> </w:t>
      </w:r>
      <w:r w:rsidR="00BA18BA">
        <w:t>(Full Distance Learning/</w:t>
      </w:r>
      <w:r w:rsidRPr="00117240">
        <w:t>Online)</w:t>
      </w:r>
      <w:r w:rsidR="00BA18BA">
        <w:t xml:space="preserve"> Course Nos.</w:t>
      </w:r>
      <w:r w:rsidR="00ED11C7">
        <w:t xml:space="preserve"> </w:t>
      </w:r>
      <w:r w:rsidR="00383F38">
        <w:t>21104 (4355)</w:t>
      </w:r>
      <w:r w:rsidR="00ED11C7">
        <w:t>/</w:t>
      </w:r>
      <w:r w:rsidR="00383F38">
        <w:t>21105 (5355)</w:t>
      </w:r>
      <w:bookmarkStart w:id="0" w:name="_GoBack"/>
      <w:bookmarkEnd w:id="0"/>
    </w:p>
    <w:p w14:paraId="38BBA0DA" w14:textId="77777777" w:rsidR="004B025A" w:rsidRDefault="004B025A" w:rsidP="004B025A">
      <w:pPr>
        <w:jc w:val="center"/>
      </w:pPr>
    </w:p>
    <w:p w14:paraId="1116977A" w14:textId="77777777" w:rsidR="000541C4" w:rsidRPr="00D4259D" w:rsidRDefault="000541C4" w:rsidP="000541C4">
      <w:r w:rsidRPr="00D4259D">
        <w:t>Instructor: Dr. Chen (Ken) Wu</w:t>
      </w:r>
    </w:p>
    <w:p w14:paraId="2ABDD35A" w14:textId="77777777" w:rsidR="000541C4" w:rsidRPr="00D4259D" w:rsidRDefault="000541C4" w:rsidP="000541C4">
      <w:r w:rsidRPr="00D4259D">
        <w:t xml:space="preserve">Office: </w:t>
      </w:r>
      <w:r>
        <w:t>COB</w:t>
      </w:r>
      <w:r w:rsidRPr="00D4259D">
        <w:t>-</w:t>
      </w:r>
      <w:r>
        <w:t>350.13</w:t>
      </w:r>
    </w:p>
    <w:p w14:paraId="4F61E7BB" w14:textId="77777777" w:rsidR="000541C4" w:rsidRPr="00D4259D" w:rsidRDefault="000541C4" w:rsidP="000541C4">
      <w:r w:rsidRPr="00D4259D">
        <w:t xml:space="preserve">Email: </w:t>
      </w:r>
      <w:hyperlink r:id="rId5" w:history="1">
        <w:r w:rsidRPr="00D4259D">
          <w:rPr>
            <w:color w:val="0000FF"/>
            <w:u w:val="single"/>
          </w:rPr>
          <w:t>cwu@uttyler.edu</w:t>
        </w:r>
      </w:hyperlink>
      <w:r w:rsidRPr="00D4259D">
        <w:t xml:space="preserve"> (Best contact method)</w:t>
      </w:r>
    </w:p>
    <w:p w14:paraId="7A03C812" w14:textId="77777777" w:rsidR="000541C4" w:rsidRPr="00D4259D" w:rsidRDefault="000541C4" w:rsidP="000541C4">
      <w:r w:rsidRPr="00D4259D">
        <w:t xml:space="preserve">Telephone: </w:t>
      </w:r>
      <w:r>
        <w:t>(903) 565-5847</w:t>
      </w:r>
    </w:p>
    <w:p w14:paraId="7E1F6441" w14:textId="1CBD2CE8" w:rsidR="000541C4" w:rsidRPr="00D4259D" w:rsidRDefault="000541C4" w:rsidP="000541C4">
      <w:r w:rsidRPr="00D4259D">
        <w:t xml:space="preserve">Office Hours: </w:t>
      </w:r>
      <w:r w:rsidR="000D3393" w:rsidRPr="00D4259D">
        <w:t>Monday-</w:t>
      </w:r>
      <w:r w:rsidR="000D3393">
        <w:t>Fri</w:t>
      </w:r>
      <w:r w:rsidR="000D3393" w:rsidRPr="00D4259D">
        <w:t xml:space="preserve">day, </w:t>
      </w:r>
      <w:r w:rsidR="000D3393">
        <w:t xml:space="preserve">8:15 - 9AM </w:t>
      </w:r>
      <w:r>
        <w:t xml:space="preserve">except </w:t>
      </w:r>
      <w:r w:rsidRPr="00D4259D">
        <w:t>holidays or posted otherwise on Canvas. Please email for appointments outside these posted hours.</w:t>
      </w:r>
    </w:p>
    <w:p w14:paraId="15560C6C" w14:textId="77777777" w:rsidR="00751AED" w:rsidRPr="00C01DFD" w:rsidRDefault="00751AED" w:rsidP="00701A7A"/>
    <w:p w14:paraId="212759FC" w14:textId="77777777" w:rsidR="004F0115" w:rsidRPr="00D4259D" w:rsidRDefault="004F0115" w:rsidP="004F0115">
      <w:pPr>
        <w:rPr>
          <w:b/>
        </w:rPr>
      </w:pPr>
      <w:r w:rsidRPr="00D4259D">
        <w:rPr>
          <w:b/>
        </w:rPr>
        <w:t>Communications with the Instructor</w:t>
      </w:r>
    </w:p>
    <w:p w14:paraId="7DB3EEB6" w14:textId="77777777" w:rsidR="004F0115" w:rsidRPr="00D4259D" w:rsidRDefault="004F0115" w:rsidP="004F0115">
      <w:pPr>
        <w:rPr>
          <w:b/>
        </w:rPr>
      </w:pPr>
    </w:p>
    <w:p w14:paraId="7AD9B7F8" w14:textId="77777777" w:rsidR="004F0115" w:rsidRPr="00D4259D" w:rsidRDefault="004F0115" w:rsidP="004F0115">
      <w:r w:rsidRPr="00D4259D">
        <w:t>I check email often on weekdays and will frequently be in my office. If you want to meet me for any reason outside of office hours shown above, please email for an appointment. For all email communications, you can expect a response within 24 hours except for those sent on holidays or between 5 pm on Friday and midnight on Sunday, when you can expect a response within 48 hours.</w:t>
      </w:r>
    </w:p>
    <w:p w14:paraId="0D73AF0A" w14:textId="77777777" w:rsidR="004F0115" w:rsidRPr="00D4259D" w:rsidRDefault="004F0115" w:rsidP="004F0115"/>
    <w:p w14:paraId="2A0ED58C" w14:textId="77777777" w:rsidR="004F0115" w:rsidRPr="00D4259D" w:rsidRDefault="004F0115" w:rsidP="004F0115">
      <w:r w:rsidRPr="00D4259D">
        <w:t xml:space="preserve">Email policy: As mandated by the University, I will only send emails to your Patriot email accounts. Emails from non-Patriot email accounts will </w:t>
      </w:r>
      <w:r w:rsidRPr="00D4259D">
        <w:rPr>
          <w:b/>
          <w:i/>
          <w:u w:val="single"/>
        </w:rPr>
        <w:t>NOT</w:t>
      </w:r>
      <w:r w:rsidRPr="00D4259D">
        <w:t xml:space="preserve"> be answered</w:t>
      </w:r>
    </w:p>
    <w:p w14:paraId="16231735" w14:textId="77777777" w:rsidR="00117240" w:rsidRPr="00117240" w:rsidRDefault="00117240" w:rsidP="00117240"/>
    <w:p w14:paraId="5B3DFA55" w14:textId="77777777" w:rsidR="004B025A" w:rsidRDefault="004B025A" w:rsidP="00C01DFD">
      <w:pPr>
        <w:rPr>
          <w:b/>
        </w:rPr>
      </w:pPr>
      <w:r w:rsidRPr="005D09ED">
        <w:rPr>
          <w:b/>
        </w:rPr>
        <w:t>Course Obje</w:t>
      </w:r>
      <w:r w:rsidR="002F4B53">
        <w:rPr>
          <w:b/>
        </w:rPr>
        <w:t>ctive</w:t>
      </w:r>
    </w:p>
    <w:p w14:paraId="73B983EA" w14:textId="77777777" w:rsidR="002F4B53" w:rsidRDefault="002F4B53" w:rsidP="00C01DFD">
      <w:pPr>
        <w:rPr>
          <w:b/>
        </w:rPr>
      </w:pPr>
    </w:p>
    <w:p w14:paraId="2F069D92" w14:textId="77777777" w:rsidR="004B025A" w:rsidRDefault="004B025A" w:rsidP="004B025A">
      <w:pPr>
        <w:autoSpaceDE w:val="0"/>
        <w:autoSpaceDN w:val="0"/>
        <w:adjustRightInd w:val="0"/>
        <w:jc w:val="both"/>
      </w:pPr>
      <w:r>
        <w:t>Th</w:t>
      </w:r>
      <w:r w:rsidR="00C706B5">
        <w:t xml:space="preserve">is is an introductory </w:t>
      </w:r>
      <w:r>
        <w:t xml:space="preserve">course </w:t>
      </w:r>
      <w:r w:rsidR="008666E5">
        <w:t xml:space="preserve">designed to provide students with a </w:t>
      </w:r>
      <w:r w:rsidR="00476768">
        <w:t xml:space="preserve">basic understanding of </w:t>
      </w:r>
      <w:r w:rsidR="00C706B5">
        <w:t xml:space="preserve">the economics and finance of energy, in particular petroleum (oil) and (natural) gas. </w:t>
      </w:r>
      <w:r w:rsidR="00FE0B01">
        <w:t xml:space="preserve"> </w:t>
      </w:r>
      <w:r w:rsidR="00476768">
        <w:t>The</w:t>
      </w:r>
      <w:r w:rsidR="00177C63">
        <w:t xml:space="preserve"> course will begin with discussion of the s</w:t>
      </w:r>
      <w:r w:rsidR="00476768">
        <w:t>cientific and technological foundations of oil and gas production, refining, transport and consumption</w:t>
      </w:r>
      <w:r w:rsidRPr="00AD7953">
        <w:t>.</w:t>
      </w:r>
      <w:r>
        <w:t xml:space="preserve"> </w:t>
      </w:r>
      <w:r w:rsidR="00554AEF">
        <w:t>Next we will investigate financing schemes for oil and gas production. In other words, we will cover the organization of oil and gas industry into oil majors, national oil companies, partnerships etc. Then</w:t>
      </w:r>
      <w:r w:rsidR="00177C63">
        <w:t xml:space="preserve"> we will cover</w:t>
      </w:r>
      <w:r w:rsidR="00554AEF">
        <w:t xml:space="preserve"> the economics of oil and gas production as well as evaluation of oil and gas projects plus the trading of oil and gas in derivatives markets, including options and futures. </w:t>
      </w:r>
      <w:r w:rsidR="004848B3">
        <w:t xml:space="preserve">Then we will discuss generally accepted consequences of increased concentrations of carbon dioxide in the atmosphere as </w:t>
      </w:r>
      <w:r w:rsidR="00177C63">
        <w:t xml:space="preserve">direct </w:t>
      </w:r>
      <w:r w:rsidR="004848B3">
        <w:t xml:space="preserve">a result of consumption of fossil fuels. </w:t>
      </w:r>
      <w:r w:rsidR="00C33AE7">
        <w:t xml:space="preserve">Finally, for the graduate students enrolled in Fina 5355, we will discuss </w:t>
      </w:r>
      <w:r w:rsidR="00177C63">
        <w:t>the</w:t>
      </w:r>
      <w:r w:rsidR="00C33AE7">
        <w:t xml:space="preserve"> </w:t>
      </w:r>
      <w:r w:rsidR="00AF4B91">
        <w:t>growing push for</w:t>
      </w:r>
      <w:r w:rsidR="00C33AE7">
        <w:t xml:space="preserve"> use of re</w:t>
      </w:r>
      <w:r w:rsidR="00AF4B91">
        <w:t>newable energy and the threat this</w:t>
      </w:r>
      <w:r w:rsidR="00C33AE7">
        <w:t xml:space="preserve"> poses to oil and gas industry.</w:t>
      </w:r>
    </w:p>
    <w:p w14:paraId="2BD7C3BB" w14:textId="77777777" w:rsidR="004B025A" w:rsidRPr="00AD7953" w:rsidRDefault="004B025A" w:rsidP="004B025A">
      <w:pPr>
        <w:autoSpaceDE w:val="0"/>
        <w:autoSpaceDN w:val="0"/>
        <w:adjustRightInd w:val="0"/>
      </w:pPr>
    </w:p>
    <w:p w14:paraId="0F7CA0AC" w14:textId="77777777" w:rsidR="004B025A" w:rsidRPr="00AD7953" w:rsidRDefault="004B025A" w:rsidP="004B025A">
      <w:pPr>
        <w:autoSpaceDE w:val="0"/>
        <w:autoSpaceDN w:val="0"/>
        <w:adjustRightInd w:val="0"/>
      </w:pPr>
      <w:r w:rsidRPr="00AD7953">
        <w:t xml:space="preserve">Upon completion of the course you should </w:t>
      </w:r>
      <w:r>
        <w:t>be able</w:t>
      </w:r>
      <w:r w:rsidRPr="00AD7953">
        <w:t xml:space="preserve"> to:</w:t>
      </w:r>
    </w:p>
    <w:p w14:paraId="3B2CA1C1" w14:textId="77777777" w:rsidR="004B025A" w:rsidRPr="00AD7953" w:rsidRDefault="004B025A" w:rsidP="004B025A">
      <w:pPr>
        <w:autoSpaceDE w:val="0"/>
        <w:autoSpaceDN w:val="0"/>
        <w:adjustRightInd w:val="0"/>
        <w:ind w:left="720"/>
      </w:pPr>
      <w:r w:rsidRPr="00AD7953">
        <w:t xml:space="preserve">• </w:t>
      </w:r>
      <w:r w:rsidR="00BC330E">
        <w:t xml:space="preserve">Describe </w:t>
      </w:r>
      <w:r w:rsidR="00412734">
        <w:t xml:space="preserve">evolution of human use of energy and </w:t>
      </w:r>
      <w:r w:rsidR="00BC330E">
        <w:t>geological origins of fossil fuels</w:t>
      </w:r>
      <w:r w:rsidRPr="00AD7953">
        <w:t>.</w:t>
      </w:r>
    </w:p>
    <w:p w14:paraId="3A463697" w14:textId="77777777" w:rsidR="004B025A" w:rsidRPr="00AD7953" w:rsidRDefault="004B025A" w:rsidP="004B025A">
      <w:pPr>
        <w:autoSpaceDE w:val="0"/>
        <w:autoSpaceDN w:val="0"/>
        <w:adjustRightInd w:val="0"/>
        <w:ind w:left="720"/>
      </w:pPr>
      <w:r w:rsidRPr="00AD7953">
        <w:t xml:space="preserve">• </w:t>
      </w:r>
      <w:r w:rsidR="00BC330E">
        <w:t>Describe basic process of extraction of oil and gas</w:t>
      </w:r>
      <w:r w:rsidRPr="00AD7953">
        <w:t>.</w:t>
      </w:r>
    </w:p>
    <w:p w14:paraId="32A911A7" w14:textId="77777777" w:rsidR="004B025A" w:rsidRPr="00AD7953" w:rsidRDefault="004B025A" w:rsidP="00CE4B8A">
      <w:pPr>
        <w:autoSpaceDE w:val="0"/>
        <w:autoSpaceDN w:val="0"/>
        <w:adjustRightInd w:val="0"/>
        <w:ind w:left="720"/>
      </w:pPr>
      <w:r w:rsidRPr="00AD7953">
        <w:t xml:space="preserve">• </w:t>
      </w:r>
      <w:r w:rsidR="00CE4B8A">
        <w:t>Describe main uses of oil and gas and how they are transported and made ready for end consumption</w:t>
      </w:r>
      <w:r w:rsidR="00EB5AAC">
        <w:t>.</w:t>
      </w:r>
    </w:p>
    <w:p w14:paraId="1B17027F" w14:textId="77777777" w:rsidR="004B025A" w:rsidRDefault="004B025A" w:rsidP="004B025A">
      <w:pPr>
        <w:autoSpaceDE w:val="0"/>
        <w:autoSpaceDN w:val="0"/>
        <w:adjustRightInd w:val="0"/>
        <w:ind w:left="720"/>
      </w:pPr>
      <w:r>
        <w:rPr>
          <w:rFonts w:ascii="Arial" w:hAnsi="Arial" w:cs="Arial"/>
          <w:sz w:val="22"/>
          <w:szCs w:val="22"/>
        </w:rPr>
        <w:t xml:space="preserve">• </w:t>
      </w:r>
      <w:r w:rsidR="00CE4B8A">
        <w:t>Describe basic organization of oil and gas industry</w:t>
      </w:r>
      <w:r w:rsidR="00EB5AAC">
        <w:t>.</w:t>
      </w:r>
    </w:p>
    <w:p w14:paraId="5CC778E8" w14:textId="77777777" w:rsidR="00AE7B56" w:rsidRDefault="00AE7B56" w:rsidP="00AE7B56">
      <w:pPr>
        <w:autoSpaceDE w:val="0"/>
        <w:autoSpaceDN w:val="0"/>
        <w:adjustRightInd w:val="0"/>
        <w:ind w:left="720"/>
      </w:pPr>
      <w:r>
        <w:rPr>
          <w:rFonts w:ascii="Arial" w:hAnsi="Arial" w:cs="Arial"/>
          <w:sz w:val="22"/>
          <w:szCs w:val="22"/>
        </w:rPr>
        <w:lastRenderedPageBreak/>
        <w:t xml:space="preserve">• </w:t>
      </w:r>
      <w:r w:rsidR="00CE4B8A">
        <w:t>Explain economics of their production and how they are traded on futures exchanges.</w:t>
      </w:r>
    </w:p>
    <w:p w14:paraId="6B765404" w14:textId="77777777" w:rsidR="00C33AE7" w:rsidRDefault="00C33AE7" w:rsidP="00C33AE7">
      <w:pPr>
        <w:ind w:left="720"/>
      </w:pPr>
      <w:r w:rsidRPr="00AD7953">
        <w:t xml:space="preserve">• </w:t>
      </w:r>
      <w:r>
        <w:t>Explain the basic idea behind concerns about global warming from burning of fossil fuels and how this is prompting nations to consider switching to renewable energy.</w:t>
      </w:r>
    </w:p>
    <w:p w14:paraId="35820155" w14:textId="77777777" w:rsidR="00C33AE7" w:rsidRDefault="00C33AE7" w:rsidP="00AE7B56">
      <w:pPr>
        <w:autoSpaceDE w:val="0"/>
        <w:autoSpaceDN w:val="0"/>
        <w:adjustRightInd w:val="0"/>
        <w:ind w:left="720"/>
      </w:pPr>
    </w:p>
    <w:p w14:paraId="5779F8A9" w14:textId="77777777" w:rsidR="006B4784" w:rsidRDefault="004B025A" w:rsidP="006B4784">
      <w:pPr>
        <w:autoSpaceDE w:val="0"/>
        <w:autoSpaceDN w:val="0"/>
        <w:adjustRightInd w:val="0"/>
        <w:rPr>
          <w:b/>
        </w:rPr>
      </w:pPr>
      <w:r w:rsidRPr="005D09ED">
        <w:rPr>
          <w:b/>
        </w:rPr>
        <w:t>Course Structure</w:t>
      </w:r>
    </w:p>
    <w:p w14:paraId="7D4562FA" w14:textId="77777777" w:rsidR="002F4B53" w:rsidRDefault="002F4B53" w:rsidP="006B4784">
      <w:pPr>
        <w:autoSpaceDE w:val="0"/>
        <w:autoSpaceDN w:val="0"/>
        <w:adjustRightInd w:val="0"/>
        <w:rPr>
          <w:b/>
        </w:rPr>
      </w:pPr>
    </w:p>
    <w:p w14:paraId="69F30D20" w14:textId="77777777" w:rsidR="004B025A" w:rsidRPr="006B4784" w:rsidRDefault="004B025A" w:rsidP="006B4784">
      <w:pPr>
        <w:autoSpaceDE w:val="0"/>
        <w:autoSpaceDN w:val="0"/>
        <w:adjustRightInd w:val="0"/>
        <w:rPr>
          <w:b/>
        </w:rPr>
      </w:pPr>
      <w:r w:rsidRPr="00C52AE7">
        <w:t>To achieve th</w:t>
      </w:r>
      <w:r w:rsidR="00412734">
        <w:t>e course objectives listed above</w:t>
      </w:r>
      <w:r w:rsidRPr="00C52AE7">
        <w:t>, students will be required to:</w:t>
      </w:r>
    </w:p>
    <w:p w14:paraId="2C4B6BA7" w14:textId="77777777" w:rsidR="00FE0B01" w:rsidRPr="00C52AE7" w:rsidRDefault="00FE0B01" w:rsidP="006005F6">
      <w:pPr>
        <w:autoSpaceDE w:val="0"/>
        <w:autoSpaceDN w:val="0"/>
        <w:adjustRightInd w:val="0"/>
        <w:jc w:val="both"/>
      </w:pPr>
    </w:p>
    <w:p w14:paraId="067DEAEE" w14:textId="75E48D6D" w:rsidR="00482AB3" w:rsidRDefault="004B025A" w:rsidP="00482AB3">
      <w:pPr>
        <w:autoSpaceDE w:val="0"/>
        <w:autoSpaceDN w:val="0"/>
        <w:adjustRightInd w:val="0"/>
        <w:ind w:left="720"/>
      </w:pPr>
      <w:r>
        <w:t xml:space="preserve">1. </w:t>
      </w:r>
      <w:r w:rsidR="00482AB3">
        <w:t xml:space="preserve">Watch ARC </w:t>
      </w:r>
      <w:r w:rsidR="00643FE5">
        <w:t>unit</w:t>
      </w:r>
      <w:r w:rsidR="00482AB3">
        <w:t xml:space="preserve"> introduction videos and r</w:t>
      </w:r>
      <w:r w:rsidR="00482AB3" w:rsidRPr="00A8437E">
        <w:t xml:space="preserve">ead </w:t>
      </w:r>
      <w:r w:rsidR="00482AB3">
        <w:t xml:space="preserve">Powerpoint course </w:t>
      </w:r>
      <w:r w:rsidR="00482AB3" w:rsidRPr="00A8437E">
        <w:t>slides and textbook chapters.</w:t>
      </w:r>
    </w:p>
    <w:p w14:paraId="5FF16010" w14:textId="437BFBF6" w:rsidR="00A8437E" w:rsidRPr="00A8437E" w:rsidRDefault="00A8437E" w:rsidP="00482AB3">
      <w:pPr>
        <w:autoSpaceDE w:val="0"/>
        <w:autoSpaceDN w:val="0"/>
        <w:adjustRightInd w:val="0"/>
        <w:ind w:left="720"/>
      </w:pPr>
      <w:r w:rsidRPr="00A8437E">
        <w:t xml:space="preserve">2. Visit course </w:t>
      </w:r>
      <w:r w:rsidR="00ED11C7">
        <w:t>Canvas</w:t>
      </w:r>
      <w:r w:rsidRPr="00A8437E">
        <w:t xml:space="preserve"> regularly.</w:t>
      </w:r>
    </w:p>
    <w:p w14:paraId="49FF2F9C" w14:textId="77777777" w:rsidR="00A8437E" w:rsidRPr="00A8437E" w:rsidRDefault="00A8437E" w:rsidP="00A8437E">
      <w:pPr>
        <w:autoSpaceDE w:val="0"/>
        <w:autoSpaceDN w:val="0"/>
        <w:adjustRightInd w:val="0"/>
        <w:ind w:firstLine="720"/>
      </w:pPr>
      <w:r w:rsidRPr="00A8437E">
        <w:t xml:space="preserve">3. Take every </w:t>
      </w:r>
      <w:r w:rsidR="00412734">
        <w:t>unit</w:t>
      </w:r>
      <w:r w:rsidR="00FE0B01">
        <w:t xml:space="preserve"> </w:t>
      </w:r>
      <w:r w:rsidRPr="00A8437E">
        <w:t>quiz.</w:t>
      </w:r>
    </w:p>
    <w:p w14:paraId="5DD25FCB" w14:textId="77777777" w:rsidR="00D20AD2" w:rsidRDefault="00D20AD2" w:rsidP="004B025A">
      <w:pPr>
        <w:autoSpaceDE w:val="0"/>
        <w:autoSpaceDN w:val="0"/>
        <w:adjustRightInd w:val="0"/>
      </w:pPr>
    </w:p>
    <w:p w14:paraId="6AB1CCB4" w14:textId="77777777" w:rsidR="004B025A" w:rsidRDefault="004B025A" w:rsidP="004B025A">
      <w:pPr>
        <w:autoSpaceDE w:val="0"/>
        <w:autoSpaceDN w:val="0"/>
        <w:adjustRightInd w:val="0"/>
        <w:rPr>
          <w:b/>
        </w:rPr>
      </w:pPr>
      <w:r w:rsidRPr="001C5E55">
        <w:rPr>
          <w:b/>
        </w:rPr>
        <w:t>Required Textbook and Internet Access</w:t>
      </w:r>
    </w:p>
    <w:p w14:paraId="42070D0D" w14:textId="77777777" w:rsidR="002F4B53" w:rsidRPr="001C5E55" w:rsidRDefault="002F4B53" w:rsidP="004B025A">
      <w:pPr>
        <w:autoSpaceDE w:val="0"/>
        <w:autoSpaceDN w:val="0"/>
        <w:adjustRightInd w:val="0"/>
        <w:rPr>
          <w:b/>
        </w:rPr>
      </w:pPr>
    </w:p>
    <w:p w14:paraId="238C88A3" w14:textId="77777777" w:rsidR="00FF2BC6" w:rsidRDefault="004B025A" w:rsidP="00FF2BC6">
      <w:pPr>
        <w:autoSpaceDE w:val="0"/>
        <w:autoSpaceDN w:val="0"/>
        <w:adjustRightInd w:val="0"/>
        <w:ind w:left="720"/>
      </w:pPr>
      <w:r w:rsidRPr="00C52AE7">
        <w:t xml:space="preserve">• </w:t>
      </w:r>
      <w:bookmarkStart w:id="1" w:name="OLE_LINK1"/>
      <w:r w:rsidR="00155559">
        <w:t>The required text</w:t>
      </w:r>
      <w:r w:rsidR="0098107D" w:rsidRPr="0098107D">
        <w:t>book</w:t>
      </w:r>
      <w:r w:rsidR="00A76761">
        <w:t xml:space="preserve"> is</w:t>
      </w:r>
      <w:r w:rsidR="008B6B49">
        <w:t xml:space="preserve"> </w:t>
      </w:r>
      <w:r w:rsidR="008A3D41">
        <w:t>Energy Finance and Economics: Analysis and Valuation, Risk Management, and the Future of Energy</w:t>
      </w:r>
      <w:r w:rsidR="0098107D" w:rsidRPr="0098107D">
        <w:t xml:space="preserve"> </w:t>
      </w:r>
      <w:bookmarkEnd w:id="1"/>
      <w:r w:rsidR="008A3D41">
        <w:t>by Betty Simkins and Russell Simkins</w:t>
      </w:r>
      <w:r w:rsidR="00155559">
        <w:t xml:space="preserve">, </w:t>
      </w:r>
      <w:r w:rsidR="008A3D41">
        <w:t>1</w:t>
      </w:r>
      <w:r w:rsidR="008A3D41">
        <w:rPr>
          <w:vertAlign w:val="superscript"/>
        </w:rPr>
        <w:t>st</w:t>
      </w:r>
      <w:r w:rsidR="00155559">
        <w:t xml:space="preserve"> Edition (20</w:t>
      </w:r>
      <w:r w:rsidR="008A3D41">
        <w:t>13</w:t>
      </w:r>
      <w:r w:rsidR="00155559">
        <w:t xml:space="preserve">), </w:t>
      </w:r>
      <w:r w:rsidR="008A3D41">
        <w:t>Wiley</w:t>
      </w:r>
      <w:r w:rsidR="00155559">
        <w:t xml:space="preserve">, ISBN </w:t>
      </w:r>
      <w:r w:rsidR="00155559" w:rsidRPr="00155559">
        <w:t>978-</w:t>
      </w:r>
      <w:r w:rsidR="008A3D41" w:rsidRPr="008A3D41">
        <w:t>1118017128</w:t>
      </w:r>
      <w:r w:rsidR="00155559">
        <w:t>.</w:t>
      </w:r>
      <w:r w:rsidR="00FF2BC6">
        <w:t xml:space="preserve"> </w:t>
      </w:r>
    </w:p>
    <w:p w14:paraId="1D7BB075" w14:textId="77777777" w:rsidR="004B025A" w:rsidRPr="00C52AE7" w:rsidRDefault="004B025A" w:rsidP="0098107D">
      <w:pPr>
        <w:autoSpaceDE w:val="0"/>
        <w:autoSpaceDN w:val="0"/>
        <w:adjustRightInd w:val="0"/>
        <w:ind w:firstLine="720"/>
      </w:pPr>
      <w:r w:rsidRPr="00C52AE7">
        <w:t xml:space="preserve">• Students </w:t>
      </w:r>
      <w:r>
        <w:t>should have basic Internet, word-processing, spreadsheet</w:t>
      </w:r>
      <w:r w:rsidRPr="00C52AE7">
        <w:t>, and email</w:t>
      </w:r>
      <w:r>
        <w:t xml:space="preserve"> </w:t>
      </w:r>
      <w:r w:rsidR="0098107D">
        <w:tab/>
      </w:r>
      <w:r w:rsidRPr="00C52AE7">
        <w:t xml:space="preserve">skills. </w:t>
      </w:r>
      <w:r>
        <w:t xml:space="preserve">Frequent checking of </w:t>
      </w:r>
      <w:r w:rsidR="00ED11C7">
        <w:t>Canvas</w:t>
      </w:r>
      <w:r w:rsidRPr="00C52AE7">
        <w:t xml:space="preserve"> </w:t>
      </w:r>
      <w:r>
        <w:t xml:space="preserve">announcements and postings is strongly </w:t>
      </w:r>
      <w:r w:rsidR="0098107D">
        <w:tab/>
      </w:r>
      <w:r>
        <w:t>encouraged</w:t>
      </w:r>
      <w:r w:rsidRPr="00C52AE7">
        <w:t>.</w:t>
      </w:r>
    </w:p>
    <w:p w14:paraId="2D2D2FBA" w14:textId="77777777" w:rsidR="00A53171" w:rsidRPr="00A53171" w:rsidRDefault="00A53171" w:rsidP="00A53171">
      <w:pPr>
        <w:autoSpaceDE w:val="0"/>
        <w:autoSpaceDN w:val="0"/>
        <w:adjustRightInd w:val="0"/>
        <w:ind w:left="720"/>
      </w:pPr>
      <w:r w:rsidRPr="00A53171">
        <w:t>• Class materials are generally in the form of Word, Powerpoint, Excel and pdf files. Students can download Word, Excel or Powerpoint Viewer if they do not have Microsoft Word, Excel or Powerpoint installed on their computer. Adobe Acrobat Reader (which is free) is needed to read pdf files.</w:t>
      </w:r>
    </w:p>
    <w:p w14:paraId="398CC764" w14:textId="77777777" w:rsidR="004B025A" w:rsidRPr="00C52AE7" w:rsidRDefault="004B025A" w:rsidP="004B025A">
      <w:pPr>
        <w:autoSpaceDE w:val="0"/>
        <w:autoSpaceDN w:val="0"/>
        <w:adjustRightInd w:val="0"/>
        <w:ind w:firstLine="720"/>
      </w:pPr>
    </w:p>
    <w:p w14:paraId="68CA127B" w14:textId="77777777" w:rsidR="00E323F8" w:rsidRDefault="00ED11C7" w:rsidP="00E323F8">
      <w:pPr>
        <w:autoSpaceDE w:val="0"/>
        <w:autoSpaceDN w:val="0"/>
        <w:adjustRightInd w:val="0"/>
        <w:rPr>
          <w:b/>
        </w:rPr>
      </w:pPr>
      <w:r>
        <w:rPr>
          <w:b/>
        </w:rPr>
        <w:t>Canvas</w:t>
      </w:r>
      <w:r w:rsidR="00E323F8" w:rsidRPr="005D09ED">
        <w:rPr>
          <w:b/>
        </w:rPr>
        <w:t xml:space="preserve"> Access</w:t>
      </w:r>
    </w:p>
    <w:p w14:paraId="2B33D9A4" w14:textId="77777777" w:rsidR="002F4B53" w:rsidRPr="005D09ED" w:rsidRDefault="002F4B53" w:rsidP="00E323F8">
      <w:pPr>
        <w:autoSpaceDE w:val="0"/>
        <w:autoSpaceDN w:val="0"/>
        <w:adjustRightInd w:val="0"/>
        <w:rPr>
          <w:b/>
        </w:rPr>
      </w:pPr>
    </w:p>
    <w:p w14:paraId="7F314410" w14:textId="77777777" w:rsidR="00E323F8" w:rsidRDefault="00E323F8" w:rsidP="00E323F8">
      <w:pPr>
        <w:autoSpaceDE w:val="0"/>
        <w:autoSpaceDN w:val="0"/>
        <w:adjustRightInd w:val="0"/>
        <w:jc w:val="both"/>
        <w:rPr>
          <w:b/>
          <w:i/>
        </w:rPr>
      </w:pPr>
      <w:r w:rsidRPr="00C52AE7">
        <w:t>All class materials, course grade</w:t>
      </w:r>
      <w:r>
        <w:t>s</w:t>
      </w:r>
      <w:r w:rsidRPr="00C52AE7">
        <w:t xml:space="preserve">, and class announcements will be </w:t>
      </w:r>
      <w:r>
        <w:t>posted</w:t>
      </w:r>
      <w:r w:rsidRPr="00C52AE7">
        <w:t xml:space="preserve"> by</w:t>
      </w:r>
      <w:r>
        <w:t xml:space="preserve"> </w:t>
      </w:r>
      <w:r w:rsidR="00ED11C7">
        <w:t>Canvas</w:t>
      </w:r>
      <w:r>
        <w:t xml:space="preserve">. Your account on </w:t>
      </w:r>
      <w:r w:rsidR="00ED11C7">
        <w:t>Canvas</w:t>
      </w:r>
      <w:r w:rsidRPr="00C52AE7">
        <w:t xml:space="preserve"> has already been created</w:t>
      </w:r>
      <w:r>
        <w:t xml:space="preserve"> </w:t>
      </w:r>
      <w:r w:rsidRPr="00C52AE7">
        <w:t xml:space="preserve">automatically by the </w:t>
      </w:r>
      <w:r w:rsidR="00ED11C7">
        <w:t>Canvas</w:t>
      </w:r>
      <w:r w:rsidRPr="00C52AE7">
        <w:t xml:space="preserve"> administrator. </w:t>
      </w:r>
      <w:r>
        <w:t xml:space="preserve">The </w:t>
      </w:r>
      <w:r w:rsidR="00ED11C7">
        <w:t>Canvas</w:t>
      </w:r>
      <w:r>
        <w:t xml:space="preserve"> user name and password combination is the one you use for UT Tyler student email</w:t>
      </w:r>
      <w:r w:rsidRPr="00C52AE7">
        <w:t>. For more detailed information, please visit</w:t>
      </w:r>
      <w:r>
        <w:t xml:space="preserve"> UT Tyler’s homepage and click on the link for “Current Students” and follow the link to </w:t>
      </w:r>
      <w:r w:rsidR="00ED11C7">
        <w:t>Canvas</w:t>
      </w:r>
      <w:r w:rsidRPr="00C52AE7">
        <w:t xml:space="preserve">. Please contact the </w:t>
      </w:r>
      <w:r w:rsidR="00ED11C7">
        <w:t>Canvas</w:t>
      </w:r>
      <w:r w:rsidRPr="00C52AE7">
        <w:t xml:space="preserve"> administrator if you have any problem</w:t>
      </w:r>
      <w:r>
        <w:t xml:space="preserve"> </w:t>
      </w:r>
      <w:r w:rsidRPr="00C52AE7">
        <w:t>acces</w:t>
      </w:r>
      <w:r>
        <w:t xml:space="preserve">sing </w:t>
      </w:r>
      <w:r w:rsidR="00ED11C7">
        <w:t>Canvas</w:t>
      </w:r>
      <w:r>
        <w:t xml:space="preserve">. Students are </w:t>
      </w:r>
      <w:r w:rsidRPr="00C52AE7">
        <w:t xml:space="preserve">required to maintain their current e-mail address </w:t>
      </w:r>
      <w:r>
        <w:t>with</w:t>
      </w:r>
      <w:r w:rsidRPr="00C52AE7">
        <w:t xml:space="preserve"> </w:t>
      </w:r>
      <w:r w:rsidR="00ED11C7">
        <w:t>Canvas</w:t>
      </w:r>
      <w:r w:rsidRPr="00C52AE7">
        <w:t xml:space="preserve"> as </w:t>
      </w:r>
      <w:r>
        <w:t>it</w:t>
      </w:r>
      <w:r w:rsidRPr="00C52AE7">
        <w:t xml:space="preserve"> uses</w:t>
      </w:r>
      <w:r>
        <w:t xml:space="preserve"> t</w:t>
      </w:r>
      <w:r w:rsidRPr="00C52AE7">
        <w:t xml:space="preserve">his address to send course-related electronic </w:t>
      </w:r>
      <w:r>
        <w:t>communications</w:t>
      </w:r>
      <w:r w:rsidRPr="00C52AE7">
        <w:t>.</w:t>
      </w:r>
      <w:r>
        <w:t xml:space="preserve"> </w:t>
      </w:r>
    </w:p>
    <w:p w14:paraId="200D11B3" w14:textId="77777777" w:rsidR="00E323F8" w:rsidRDefault="00E323F8" w:rsidP="00E323F8">
      <w:pPr>
        <w:autoSpaceDE w:val="0"/>
        <w:autoSpaceDN w:val="0"/>
        <w:adjustRightInd w:val="0"/>
        <w:jc w:val="both"/>
        <w:rPr>
          <w:b/>
          <w:i/>
        </w:rPr>
      </w:pPr>
    </w:p>
    <w:p w14:paraId="306CCB7B" w14:textId="77777777" w:rsidR="00E323F8" w:rsidRPr="005A2A02" w:rsidRDefault="00E323F8" w:rsidP="00E323F8">
      <w:pPr>
        <w:autoSpaceDE w:val="0"/>
        <w:autoSpaceDN w:val="0"/>
        <w:adjustRightInd w:val="0"/>
        <w:jc w:val="both"/>
        <w:rPr>
          <w:b/>
          <w:i/>
        </w:rPr>
      </w:pPr>
      <w:r w:rsidRPr="00263456">
        <w:rPr>
          <w:b/>
          <w:i/>
        </w:rPr>
        <w:t xml:space="preserve">If you have issues with </w:t>
      </w:r>
      <w:r w:rsidR="00ED11C7">
        <w:rPr>
          <w:b/>
          <w:i/>
        </w:rPr>
        <w:t>Canvas</w:t>
      </w:r>
      <w:r w:rsidRPr="00263456">
        <w:rPr>
          <w:b/>
          <w:i/>
        </w:rPr>
        <w:t xml:space="preserve"> access that may hinder your comp</w:t>
      </w:r>
      <w:r w:rsidR="00D54E13">
        <w:rPr>
          <w:b/>
          <w:i/>
        </w:rPr>
        <w:t xml:space="preserve">letion of module </w:t>
      </w:r>
      <w:r w:rsidRPr="00263456">
        <w:rPr>
          <w:b/>
          <w:i/>
        </w:rPr>
        <w:t xml:space="preserve">quizzes, you must </w:t>
      </w:r>
      <w:r>
        <w:rPr>
          <w:b/>
          <w:i/>
        </w:rPr>
        <w:t xml:space="preserve">inform the instructor </w:t>
      </w:r>
      <w:r w:rsidR="00E75C77">
        <w:rPr>
          <w:b/>
          <w:i/>
        </w:rPr>
        <w:t xml:space="preserve">by email </w:t>
      </w:r>
      <w:r>
        <w:rPr>
          <w:b/>
          <w:i/>
        </w:rPr>
        <w:t xml:space="preserve">immediately. If the issue cannot be resolved by the instructor, he will ask you to </w:t>
      </w:r>
      <w:r w:rsidRPr="00263456">
        <w:rPr>
          <w:b/>
          <w:i/>
        </w:rPr>
        <w:t xml:space="preserve">contact UT Tyler’s IT Support staff immediately (even on weekends) </w:t>
      </w:r>
      <w:r>
        <w:rPr>
          <w:b/>
          <w:i/>
        </w:rPr>
        <w:t xml:space="preserve">for further assistance </w:t>
      </w:r>
      <w:r w:rsidRPr="00263456">
        <w:rPr>
          <w:b/>
          <w:i/>
        </w:rPr>
        <w:t xml:space="preserve">and get a ticket </w:t>
      </w:r>
      <w:r>
        <w:rPr>
          <w:b/>
          <w:i/>
        </w:rPr>
        <w:t>number</w:t>
      </w:r>
      <w:r w:rsidR="00295E5D">
        <w:rPr>
          <w:b/>
          <w:i/>
        </w:rPr>
        <w:t>.</w:t>
      </w:r>
      <w:r>
        <w:rPr>
          <w:b/>
          <w:i/>
        </w:rPr>
        <w:t xml:space="preserve">. </w:t>
      </w:r>
      <w:r w:rsidRPr="00263456">
        <w:rPr>
          <w:b/>
          <w:i/>
        </w:rPr>
        <w:t xml:space="preserve">Claims of </w:t>
      </w:r>
      <w:r w:rsidR="00ED11C7">
        <w:rPr>
          <w:b/>
          <w:i/>
        </w:rPr>
        <w:t>Canvas</w:t>
      </w:r>
      <w:r w:rsidRPr="00263456">
        <w:rPr>
          <w:b/>
          <w:i/>
        </w:rPr>
        <w:t xml:space="preserve"> access problems reported to the inst</w:t>
      </w:r>
      <w:r w:rsidR="00295E5D">
        <w:rPr>
          <w:b/>
          <w:i/>
        </w:rPr>
        <w:t>ructor after the passing of quiz</w:t>
      </w:r>
      <w:r w:rsidR="00E5725F">
        <w:rPr>
          <w:b/>
          <w:i/>
        </w:rPr>
        <w:t xml:space="preserve"> </w:t>
      </w:r>
      <w:r w:rsidRPr="00263456">
        <w:rPr>
          <w:b/>
          <w:i/>
        </w:rPr>
        <w:t>deadline</w:t>
      </w:r>
      <w:r w:rsidR="00295E5D">
        <w:rPr>
          <w:b/>
          <w:i/>
        </w:rPr>
        <w:t>s</w:t>
      </w:r>
      <w:r w:rsidRPr="00263456">
        <w:rPr>
          <w:b/>
          <w:i/>
        </w:rPr>
        <w:t xml:space="preserve"> </w:t>
      </w:r>
      <w:r>
        <w:rPr>
          <w:b/>
          <w:i/>
        </w:rPr>
        <w:t>or without a ticket num</w:t>
      </w:r>
      <w:r w:rsidR="0097140E">
        <w:rPr>
          <w:b/>
          <w:i/>
        </w:rPr>
        <w:t>ber from UT Tyler’s IT Support s</w:t>
      </w:r>
      <w:r>
        <w:rPr>
          <w:b/>
          <w:i/>
        </w:rPr>
        <w:t xml:space="preserve">taff when you have been asked to obtain one </w:t>
      </w:r>
      <w:r w:rsidRPr="00263456">
        <w:rPr>
          <w:b/>
          <w:i/>
        </w:rPr>
        <w:t xml:space="preserve">will be </w:t>
      </w:r>
      <w:r w:rsidR="00E5725F">
        <w:rPr>
          <w:b/>
          <w:i/>
        </w:rPr>
        <w:t xml:space="preserve">immediately </w:t>
      </w:r>
      <w:r w:rsidRPr="00263456">
        <w:rPr>
          <w:b/>
          <w:i/>
        </w:rPr>
        <w:t xml:space="preserve">dismissed. </w:t>
      </w:r>
      <w:r w:rsidR="00E5725F">
        <w:rPr>
          <w:b/>
          <w:i/>
        </w:rPr>
        <w:t xml:space="preserve">All </w:t>
      </w:r>
      <w:r w:rsidR="00ED11C7">
        <w:rPr>
          <w:b/>
          <w:i/>
        </w:rPr>
        <w:t>Canvas</w:t>
      </w:r>
      <w:r w:rsidRPr="005A2A02">
        <w:rPr>
          <w:b/>
          <w:i/>
        </w:rPr>
        <w:t xml:space="preserve">-related issues are regarded as </w:t>
      </w:r>
      <w:r w:rsidRPr="005A2A02">
        <w:rPr>
          <w:b/>
          <w:i/>
        </w:rPr>
        <w:lastRenderedPageBreak/>
        <w:t>personal-level access issues</w:t>
      </w:r>
      <w:r w:rsidR="00E5725F" w:rsidRPr="00E5725F">
        <w:rPr>
          <w:b/>
          <w:i/>
        </w:rPr>
        <w:t xml:space="preserve"> </w:t>
      </w:r>
      <w:r w:rsidR="00E5725F">
        <w:rPr>
          <w:b/>
          <w:i/>
        </w:rPr>
        <w:t xml:space="preserve">except for cases of system-wide </w:t>
      </w:r>
      <w:r w:rsidR="00ED11C7">
        <w:rPr>
          <w:b/>
          <w:i/>
        </w:rPr>
        <w:t>Canvas</w:t>
      </w:r>
      <w:r w:rsidR="00E5725F">
        <w:rPr>
          <w:b/>
          <w:i/>
        </w:rPr>
        <w:t xml:space="preserve"> is</w:t>
      </w:r>
      <w:r w:rsidR="00E75C77">
        <w:rPr>
          <w:b/>
          <w:i/>
        </w:rPr>
        <w:t xml:space="preserve">sues reported by the university </w:t>
      </w:r>
      <w:r w:rsidRPr="005A2A02">
        <w:rPr>
          <w:b/>
          <w:i/>
        </w:rPr>
        <w:t xml:space="preserve">and you must get them resolved without letting them interfere with your </w:t>
      </w:r>
      <w:r w:rsidR="00E5725F">
        <w:rPr>
          <w:b/>
          <w:i/>
        </w:rPr>
        <w:t>coursework.</w:t>
      </w:r>
    </w:p>
    <w:p w14:paraId="58C70426" w14:textId="77777777" w:rsidR="00263456" w:rsidRPr="00A305E8" w:rsidRDefault="00263456" w:rsidP="00A305E8">
      <w:pPr>
        <w:autoSpaceDE w:val="0"/>
        <w:autoSpaceDN w:val="0"/>
        <w:adjustRightInd w:val="0"/>
        <w:jc w:val="both"/>
        <w:rPr>
          <w:b/>
          <w:i/>
        </w:rPr>
      </w:pPr>
    </w:p>
    <w:p w14:paraId="65F7172B" w14:textId="77777777" w:rsidR="00D47976" w:rsidRDefault="004F0115" w:rsidP="00D47976">
      <w:pPr>
        <w:autoSpaceDE w:val="0"/>
        <w:autoSpaceDN w:val="0"/>
        <w:adjustRightInd w:val="0"/>
        <w:rPr>
          <w:b/>
        </w:rPr>
      </w:pPr>
      <w:r>
        <w:rPr>
          <w:b/>
        </w:rPr>
        <w:t>Eight</w:t>
      </w:r>
      <w:r w:rsidR="008D7A1F">
        <w:rPr>
          <w:b/>
        </w:rPr>
        <w:t xml:space="preserve"> </w:t>
      </w:r>
      <w:r w:rsidR="00F60D71">
        <w:rPr>
          <w:b/>
        </w:rPr>
        <w:t>Unit</w:t>
      </w:r>
      <w:r w:rsidR="00D47976" w:rsidRPr="00D47976">
        <w:rPr>
          <w:b/>
        </w:rPr>
        <w:t xml:space="preserve"> Quizzes</w:t>
      </w:r>
    </w:p>
    <w:p w14:paraId="5340C601" w14:textId="77777777" w:rsidR="002F4B53" w:rsidRPr="00D47976" w:rsidRDefault="002F4B53" w:rsidP="00D47976">
      <w:pPr>
        <w:autoSpaceDE w:val="0"/>
        <w:autoSpaceDN w:val="0"/>
        <w:adjustRightInd w:val="0"/>
        <w:rPr>
          <w:b/>
        </w:rPr>
      </w:pPr>
    </w:p>
    <w:p w14:paraId="76F8F817" w14:textId="77777777" w:rsidR="00A111F4" w:rsidRDefault="00A111F4" w:rsidP="00A111F4">
      <w:pPr>
        <w:jc w:val="both"/>
      </w:pPr>
      <w:r w:rsidRPr="00263456">
        <w:t xml:space="preserve">A quiz will be given for each </w:t>
      </w:r>
      <w:r>
        <w:t>unit</w:t>
      </w:r>
      <w:r w:rsidRPr="00263456">
        <w:t xml:space="preserve"> that cover related topics. Each</w:t>
      </w:r>
      <w:r>
        <w:t xml:space="preserve"> quiz will contain 20 questions and is worth 100 points and you will have </w:t>
      </w:r>
      <w:r w:rsidR="00D35167">
        <w:t>6</w:t>
      </w:r>
      <w:r>
        <w:t xml:space="preserve">0 minutes </w:t>
      </w:r>
      <w:r w:rsidRPr="00263456">
        <w:t xml:space="preserve">to complete it. </w:t>
      </w:r>
      <w:r w:rsidR="004F0115">
        <w:t>S</w:t>
      </w:r>
      <w:r>
        <w:t>tudents</w:t>
      </w:r>
      <w:r w:rsidR="00D35167">
        <w:t xml:space="preserve"> enrolled in Fina 4355 </w:t>
      </w:r>
      <w:r w:rsidR="004F0115">
        <w:t xml:space="preserve">are only required to take any six of the eight unit quizzes </w:t>
      </w:r>
      <w:r w:rsidR="00D35167">
        <w:t xml:space="preserve">while </w:t>
      </w:r>
      <w:r w:rsidR="004F0115">
        <w:t>those enrolled in Fina 5355 are required to take any seven</w:t>
      </w:r>
      <w:r w:rsidR="00275C12">
        <w:t xml:space="preserve"> </w:t>
      </w:r>
      <w:r w:rsidR="004F0115">
        <w:t>of the eight unit quizzes</w:t>
      </w:r>
      <w:r>
        <w:t xml:space="preserve">. </w:t>
      </w:r>
      <w:r w:rsidR="004F0115">
        <w:t>All s</w:t>
      </w:r>
      <w:r w:rsidR="00275C12">
        <w:t xml:space="preserve">tudents are welcome to attempt </w:t>
      </w:r>
      <w:r w:rsidR="004F0115">
        <w:t>more unit quizzes than what is required</w:t>
      </w:r>
      <w:r w:rsidR="00275C12">
        <w:t xml:space="preserve"> for extra credit. </w:t>
      </w:r>
      <w:r w:rsidRPr="00263456">
        <w:t>Note t</w:t>
      </w:r>
      <w:r>
        <w:t>here will be no other exams in this course.</w:t>
      </w:r>
      <w:r w:rsidRPr="00263456">
        <w:t xml:space="preserve"> You will complete the material in each </w:t>
      </w:r>
      <w:r>
        <w:t xml:space="preserve">unit </w:t>
      </w:r>
      <w:r w:rsidRPr="00263456">
        <w:t>at y</w:t>
      </w:r>
      <w:r>
        <w:t>our own pace and take the unit</w:t>
      </w:r>
      <w:r w:rsidRPr="00263456">
        <w:t xml:space="preserve"> quiz during the quiz period</w:t>
      </w:r>
      <w:r>
        <w:t xml:space="preserve"> shown in the course calendar at the end of this syllabus</w:t>
      </w:r>
      <w:r w:rsidRPr="00263456">
        <w:t xml:space="preserve">. You can take the quiz at any time during the quiz period. Note that you are allowed only </w:t>
      </w:r>
      <w:r>
        <w:rPr>
          <w:b/>
          <w:i/>
          <w:u w:val="single"/>
        </w:rPr>
        <w:t>two</w:t>
      </w:r>
      <w:r w:rsidRPr="00263456">
        <w:t xml:space="preserve"> attempt per </w:t>
      </w:r>
      <w:r>
        <w:t>unit</w:t>
      </w:r>
      <w:r w:rsidRPr="00263456">
        <w:t xml:space="preserve"> quiz so please make sure you study the </w:t>
      </w:r>
      <w:r>
        <w:t xml:space="preserve">unit </w:t>
      </w:r>
      <w:r w:rsidRPr="00263456">
        <w:t>material thoroughly before you begin and can devote sufficient time to complete the qui</w:t>
      </w:r>
      <w:r>
        <w:t>z using a stable Internet connection. E</w:t>
      </w:r>
      <w:r w:rsidRPr="00263456">
        <w:t xml:space="preserve">ach quiz period begins </w:t>
      </w:r>
      <w:r>
        <w:t xml:space="preserve">and ends </w:t>
      </w:r>
      <w:r w:rsidRPr="00263456">
        <w:t xml:space="preserve">at </w:t>
      </w:r>
      <w:r w:rsidRPr="00486C0B">
        <w:rPr>
          <w:b/>
          <w:i/>
          <w:u w:val="single"/>
        </w:rPr>
        <w:t>NOON</w:t>
      </w:r>
      <w:r w:rsidRPr="00263456">
        <w:t xml:space="preserve"> </w:t>
      </w:r>
      <w:r>
        <w:t xml:space="preserve">(central time) and </w:t>
      </w:r>
      <w:r w:rsidRPr="00772933">
        <w:rPr>
          <w:b/>
          <w:i/>
          <w:u w:val="single"/>
        </w:rPr>
        <w:t>NOT MIDNIGHT</w:t>
      </w:r>
      <w:r>
        <w:t xml:space="preserve"> </w:t>
      </w:r>
      <w:r w:rsidRPr="00263456">
        <w:t xml:space="preserve">on </w:t>
      </w:r>
      <w:r>
        <w:t>the dates shown in the course calendar</w:t>
      </w:r>
      <w:r w:rsidRPr="00263456">
        <w:t>. Pleas</w:t>
      </w:r>
      <w:r>
        <w:t xml:space="preserve">e note that each unit </w:t>
      </w:r>
      <w:r w:rsidRPr="00263456">
        <w:t xml:space="preserve">quiz will be only available for a limited time so check the course calendar and plan accordingly. </w:t>
      </w:r>
      <w:r>
        <w:t>Note that only one question will be shown at a time and you cannot go back and change the answer of a previous question. You will be able to see the answers you chose at the end of the quiz.</w:t>
      </w:r>
    </w:p>
    <w:p w14:paraId="4852817E" w14:textId="77777777" w:rsidR="00A111F4" w:rsidRDefault="00A111F4" w:rsidP="00A111F4">
      <w:pPr>
        <w:jc w:val="both"/>
      </w:pPr>
    </w:p>
    <w:p w14:paraId="203E916C" w14:textId="77777777" w:rsidR="00A111F4" w:rsidRDefault="00A111F4" w:rsidP="00A111F4">
      <w:pPr>
        <w:jc w:val="both"/>
        <w:rPr>
          <w:b/>
          <w:i/>
          <w:u w:val="single"/>
        </w:rPr>
      </w:pPr>
      <w:r>
        <w:t xml:space="preserve">You are allowed two attempts for each unit quiz. However, keep in mind that if you take a quiz more than once, the score used to compute your course grade will be the </w:t>
      </w:r>
      <w:r w:rsidRPr="00CF17DC">
        <w:rPr>
          <w:b/>
          <w:i/>
          <w:u w:val="single"/>
        </w:rPr>
        <w:t>higher</w:t>
      </w:r>
      <w:r>
        <w:t xml:space="preserve"> of the two scores. As an example, if you received scores of 80 and 70, respectively on the two attempts for a unit quiz, then the quiz score used to compute the course grade will be 80. Please also remember that the questions on the two attempts will be different because each time you try to take a quiz, </w:t>
      </w:r>
      <w:r w:rsidR="00ED11C7">
        <w:t>Canvas</w:t>
      </w:r>
      <w:r>
        <w:t xml:space="preserve"> will randomly select the questions for your quiz from a pool of questions the instructor uploaded for that particular unit. </w:t>
      </w:r>
      <w:r w:rsidRPr="00ED1B56">
        <w:rPr>
          <w:b/>
          <w:i/>
          <w:u w:val="single"/>
        </w:rPr>
        <w:t xml:space="preserve">No one will be allowed to take any of the </w:t>
      </w:r>
      <w:r>
        <w:rPr>
          <w:b/>
          <w:i/>
          <w:u w:val="single"/>
        </w:rPr>
        <w:t>unit</w:t>
      </w:r>
      <w:r w:rsidRPr="00ED1B56">
        <w:rPr>
          <w:b/>
          <w:i/>
          <w:u w:val="single"/>
        </w:rPr>
        <w:t xml:space="preserve"> quizzes more than twice for any reason</w:t>
      </w:r>
      <w:r>
        <w:rPr>
          <w:b/>
          <w:i/>
          <w:u w:val="single"/>
        </w:rPr>
        <w:t xml:space="preserve"> except in cases of </w:t>
      </w:r>
      <w:r w:rsidR="00ED11C7">
        <w:rPr>
          <w:b/>
          <w:i/>
          <w:u w:val="single"/>
        </w:rPr>
        <w:t>Canvas</w:t>
      </w:r>
      <w:r>
        <w:rPr>
          <w:b/>
          <w:i/>
          <w:u w:val="single"/>
        </w:rPr>
        <w:t xml:space="preserve"> system-wide outage as reported and documented by the University’s IT Support staff affecting both of the first two quiz attempts. Only then will a third attempt be allowed by the instructor, on a case-by-case basis, by clearing one of the previous attempts. All other requests to clear unit quiz attempts will be rejected.</w:t>
      </w:r>
    </w:p>
    <w:p w14:paraId="1B5D9D20" w14:textId="77777777" w:rsidR="00A111F4" w:rsidRDefault="00A111F4" w:rsidP="00A111F4">
      <w:pPr>
        <w:jc w:val="both"/>
      </w:pPr>
    </w:p>
    <w:p w14:paraId="716193A3" w14:textId="40C5DF5D" w:rsidR="00A111F4" w:rsidRDefault="00A111F4" w:rsidP="00A111F4">
      <w:pPr>
        <w:jc w:val="both"/>
        <w:rPr>
          <w:b/>
        </w:rPr>
      </w:pPr>
      <w:r w:rsidRPr="00263456">
        <w:t xml:space="preserve">All material covered in readings, slides and </w:t>
      </w:r>
      <w:r w:rsidR="00643FE5">
        <w:t>ARC videos</w:t>
      </w:r>
      <w:r w:rsidRPr="00263456">
        <w:t xml:space="preserve"> are considered fair game for </w:t>
      </w:r>
      <w:r>
        <w:t>unit</w:t>
      </w:r>
      <w:r w:rsidRPr="00263456">
        <w:t xml:space="preserve"> quizzes. You are advised to begin each </w:t>
      </w:r>
      <w:r>
        <w:t>unit</w:t>
      </w:r>
      <w:r w:rsidRPr="00263456">
        <w:t xml:space="preserve"> by watching the </w:t>
      </w:r>
      <w:r>
        <w:t xml:space="preserve">brief </w:t>
      </w:r>
      <w:r w:rsidR="00643FE5">
        <w:t>ARC video</w:t>
      </w:r>
      <w:r w:rsidRPr="00263456">
        <w:t xml:space="preserve"> introducing the topic and then read the Powerpoint slides and the assigned chapter(s) in course text for a more in-depth understanding of the topic. But </w:t>
      </w:r>
      <w:r w:rsidR="00643FE5">
        <w:t>ARC videos</w:t>
      </w:r>
      <w:r w:rsidRPr="00263456">
        <w:t xml:space="preserve"> and Powerpoint slides are no substitute for reading the text.  In fact, </w:t>
      </w:r>
      <w:r w:rsidR="00275C12">
        <w:rPr>
          <w:b/>
        </w:rPr>
        <w:t>the majority of</w:t>
      </w:r>
      <w:r>
        <w:t xml:space="preserve"> </w:t>
      </w:r>
      <w:r>
        <w:rPr>
          <w:b/>
        </w:rPr>
        <w:t>unit quiz</w:t>
      </w:r>
      <w:r w:rsidR="00275C12">
        <w:rPr>
          <w:b/>
        </w:rPr>
        <w:t>zes</w:t>
      </w:r>
      <w:r>
        <w:rPr>
          <w:b/>
        </w:rPr>
        <w:t xml:space="preserve"> will</w:t>
      </w:r>
      <w:r w:rsidRPr="00263456">
        <w:rPr>
          <w:b/>
        </w:rPr>
        <w:t xml:space="preserve"> </w:t>
      </w:r>
      <w:r>
        <w:rPr>
          <w:b/>
        </w:rPr>
        <w:t>consist of questions</w:t>
      </w:r>
      <w:r w:rsidRPr="00263456">
        <w:rPr>
          <w:b/>
        </w:rPr>
        <w:t xml:space="preserve"> randomly selected </w:t>
      </w:r>
      <w:r>
        <w:rPr>
          <w:b/>
        </w:rPr>
        <w:t>from a pool of questions primarily based on the reading of the textbook</w:t>
      </w:r>
      <w:r w:rsidRPr="00263456">
        <w:rPr>
          <w:b/>
        </w:rPr>
        <w:t xml:space="preserve"> so it is crucial you read the chapter(s) assigned very carefully and study accordingly</w:t>
      </w:r>
      <w:r w:rsidRPr="00263456">
        <w:t>.</w:t>
      </w:r>
      <w:r>
        <w:t xml:space="preserve"> </w:t>
      </w:r>
      <w:r w:rsidRPr="009900B9">
        <w:rPr>
          <w:b/>
        </w:rPr>
        <w:t xml:space="preserve">Note that because students take </w:t>
      </w:r>
      <w:r>
        <w:rPr>
          <w:b/>
        </w:rPr>
        <w:t>unit</w:t>
      </w:r>
      <w:r w:rsidRPr="009900B9">
        <w:rPr>
          <w:b/>
        </w:rPr>
        <w:t xml:space="preserve"> quizzes at different times, each student will face a different set of questions drawn randomly from the pool of quiz questions created for each </w:t>
      </w:r>
      <w:r>
        <w:rPr>
          <w:b/>
        </w:rPr>
        <w:t>unit</w:t>
      </w:r>
      <w:r w:rsidRPr="009900B9">
        <w:rPr>
          <w:b/>
        </w:rPr>
        <w:t xml:space="preserve">. </w:t>
      </w:r>
    </w:p>
    <w:p w14:paraId="4769CB33" w14:textId="77777777" w:rsidR="00157051" w:rsidRDefault="00157051" w:rsidP="00A111F4">
      <w:pPr>
        <w:jc w:val="both"/>
        <w:rPr>
          <w:b/>
        </w:rPr>
      </w:pPr>
    </w:p>
    <w:p w14:paraId="40A54E73" w14:textId="77777777" w:rsidR="00157051" w:rsidRPr="00157051" w:rsidRDefault="00157051" w:rsidP="00A111F4">
      <w:pPr>
        <w:jc w:val="both"/>
        <w:rPr>
          <w:b/>
          <w:i/>
          <w:u w:val="single"/>
        </w:rPr>
      </w:pPr>
      <w:r w:rsidRPr="00157051">
        <w:rPr>
          <w:b/>
          <w:i/>
          <w:u w:val="single"/>
        </w:rPr>
        <w:t>Note: You will need access to Microsoft Excel to answer some of the q</w:t>
      </w:r>
      <w:r w:rsidR="00D101B4">
        <w:rPr>
          <w:b/>
          <w:i/>
          <w:u w:val="single"/>
        </w:rPr>
        <w:t xml:space="preserve">uestions/problems on Unit 7 Quiz, which unlike all other unit quizzes, is 2 hours (or 120 minutes) long </w:t>
      </w:r>
      <w:r w:rsidRPr="00157051">
        <w:rPr>
          <w:b/>
          <w:i/>
          <w:u w:val="single"/>
        </w:rPr>
        <w:t>.</w:t>
      </w:r>
    </w:p>
    <w:p w14:paraId="20BF7356" w14:textId="77777777" w:rsidR="00A111F4" w:rsidRDefault="00A111F4" w:rsidP="00A111F4">
      <w:pPr>
        <w:jc w:val="both"/>
      </w:pPr>
    </w:p>
    <w:p w14:paraId="6BB870BF" w14:textId="77777777" w:rsidR="00A111F4" w:rsidRDefault="00A111F4" w:rsidP="00A111F4">
      <w:pPr>
        <w:jc w:val="both"/>
      </w:pPr>
      <w:r>
        <w:t>When seeking email assistance from the instructor on a unit quiz for any reason, you must clearly state (1) the course you are enrolled in, (2) the unit quiz where you encountered difficulties and (3) a brief description of the difficulty. Any email missing any of the three items listed above will be ignored. You will be asked to provide the missing information by the instructor and no action will be taken until it is received.</w:t>
      </w:r>
    </w:p>
    <w:p w14:paraId="1DCA4CAB" w14:textId="77777777" w:rsidR="001E0332" w:rsidRDefault="001E0332" w:rsidP="00E323F8">
      <w:pPr>
        <w:jc w:val="both"/>
      </w:pPr>
    </w:p>
    <w:p w14:paraId="74EC0A91" w14:textId="77777777" w:rsidR="006D042E" w:rsidRDefault="006D042E" w:rsidP="006D042E">
      <w:pPr>
        <w:jc w:val="both"/>
        <w:rPr>
          <w:b/>
        </w:rPr>
      </w:pPr>
      <w:r w:rsidRPr="000B25C3">
        <w:rPr>
          <w:b/>
        </w:rPr>
        <w:t>Course Information Quiz</w:t>
      </w:r>
    </w:p>
    <w:p w14:paraId="1E5E63B3" w14:textId="77777777" w:rsidR="006D042E" w:rsidRPr="000B25C3" w:rsidRDefault="006D042E" w:rsidP="006D042E">
      <w:pPr>
        <w:jc w:val="both"/>
        <w:rPr>
          <w:b/>
        </w:rPr>
      </w:pPr>
    </w:p>
    <w:p w14:paraId="262389CB" w14:textId="3F7FB202" w:rsidR="006D042E" w:rsidRDefault="006D042E" w:rsidP="006D042E">
      <w:pPr>
        <w:jc w:val="both"/>
      </w:pPr>
      <w:r w:rsidRPr="00A53451">
        <w:t>This</w:t>
      </w:r>
      <w:r>
        <w:t xml:space="preserve"> is a 15-minute multiple-choice</w:t>
      </w:r>
      <w:r w:rsidRPr="00A53451">
        <w:t xml:space="preserve"> quiz designed to test your knowledge of the course requirements </w:t>
      </w:r>
      <w:r w:rsidR="006B2982">
        <w:t xml:space="preserve">(for both Fina 4355 and Fina 5355) </w:t>
      </w:r>
      <w:r w:rsidRPr="00A53451">
        <w:t xml:space="preserve">as explained in the syllabus. </w:t>
      </w:r>
      <w:r w:rsidR="006B2982">
        <w:t xml:space="preserve">In other words, regardless of whether you are enrolled in Fina 4355 or Fina 5355, you should read and know the </w:t>
      </w:r>
      <w:r w:rsidR="000A21BB">
        <w:t>course policies</w:t>
      </w:r>
      <w:r w:rsidR="006B2982">
        <w:t xml:space="preserve"> regarding both as questions on both Fina 4355 and Fina 5355 may appear on the Course Information Quiz because this is a mixed section course. </w:t>
      </w:r>
      <w:r w:rsidRPr="00A53451">
        <w:t xml:space="preserve">As an example, you may be asked how many </w:t>
      </w:r>
      <w:r>
        <w:t>module quizzes are available</w:t>
      </w:r>
      <w:r w:rsidRPr="00A53451">
        <w:t xml:space="preserve"> and how many points they are worth as well as other course policies. It will be given via </w:t>
      </w:r>
      <w:r w:rsidR="00ED11C7">
        <w:t>Canvas</w:t>
      </w:r>
      <w:r w:rsidRPr="00A53451">
        <w:t xml:space="preserve"> </w:t>
      </w:r>
      <w:r w:rsidRPr="00D54E13">
        <w:rPr>
          <w:b/>
          <w:i/>
          <w:u w:val="single"/>
        </w:rPr>
        <w:t>only</w:t>
      </w:r>
      <w:r>
        <w:t xml:space="preserve"> </w:t>
      </w:r>
      <w:r w:rsidRPr="00A53451">
        <w:t xml:space="preserve">between </w:t>
      </w:r>
      <w:r w:rsidRPr="00A53451">
        <w:rPr>
          <w:b/>
          <w:i/>
          <w:u w:val="single"/>
        </w:rPr>
        <w:t>noon</w:t>
      </w:r>
      <w:r>
        <w:t xml:space="preserve"> (central </w:t>
      </w:r>
      <w:r w:rsidR="00643FE5">
        <w:t>standard</w:t>
      </w:r>
      <w:r>
        <w:t xml:space="preserve"> </w:t>
      </w:r>
      <w:r w:rsidRPr="00A53451">
        <w:t xml:space="preserve">time) </w:t>
      </w:r>
      <w:r w:rsidR="004F0115">
        <w:t>Mon</w:t>
      </w:r>
      <w:r>
        <w:t xml:space="preserve">day, </w:t>
      </w:r>
      <w:r w:rsidR="00643FE5">
        <w:t>Jan 13</w:t>
      </w:r>
      <w:r>
        <w:t>, 20</w:t>
      </w:r>
      <w:r w:rsidR="00643FE5">
        <w:t>20</w:t>
      </w:r>
      <w:r>
        <w:t xml:space="preserve"> </w:t>
      </w:r>
      <w:r w:rsidRPr="00A53451">
        <w:t xml:space="preserve">and </w:t>
      </w:r>
      <w:r w:rsidRPr="00A53451">
        <w:rPr>
          <w:b/>
          <w:i/>
          <w:u w:val="single"/>
        </w:rPr>
        <w:t>noon</w:t>
      </w:r>
      <w:r>
        <w:t xml:space="preserve"> (central </w:t>
      </w:r>
      <w:r w:rsidR="00643FE5">
        <w:t>standard</w:t>
      </w:r>
      <w:r w:rsidR="00C14225">
        <w:t xml:space="preserve"> </w:t>
      </w:r>
      <w:r w:rsidRPr="00A53451">
        <w:t xml:space="preserve">time) </w:t>
      </w:r>
      <w:r w:rsidR="004F0115">
        <w:t>Tuesday</w:t>
      </w:r>
      <w:r>
        <w:t xml:space="preserve">, </w:t>
      </w:r>
      <w:r w:rsidR="00643FE5">
        <w:t>Jan 21</w:t>
      </w:r>
      <w:r>
        <w:t>, 20</w:t>
      </w:r>
      <w:r w:rsidR="00643FE5">
        <w:t>20</w:t>
      </w:r>
      <w:r w:rsidRPr="00A53451">
        <w:t xml:space="preserve">. You may earn </w:t>
      </w:r>
      <w:r>
        <w:t>up to 50 points on this quiz and</w:t>
      </w:r>
      <w:r w:rsidRPr="00A53451">
        <w:t xml:space="preserve"> anything above 25 is counted as extra credit.</w:t>
      </w:r>
    </w:p>
    <w:p w14:paraId="3C69FA54" w14:textId="77777777" w:rsidR="006D042E" w:rsidRDefault="006D042E" w:rsidP="006D042E">
      <w:pPr>
        <w:jc w:val="both"/>
      </w:pPr>
    </w:p>
    <w:p w14:paraId="48B52A3A" w14:textId="77777777" w:rsidR="006D042E" w:rsidRDefault="006D042E" w:rsidP="006D042E">
      <w:pPr>
        <w:jc w:val="both"/>
      </w:pPr>
      <w:r>
        <w:t xml:space="preserve">All module quiz policies as described above apply to the Course Information Quiz. In particular, you are only allowed two attempts and the higher of the two scores (if you choose to take it more than once) will count. Third attempts will only be allowed if system-wide </w:t>
      </w:r>
      <w:r w:rsidR="00ED11C7">
        <w:t>Canvas</w:t>
      </w:r>
      <w:r>
        <w:t xml:space="preserve"> issues interrupted both quiz attempts.</w:t>
      </w:r>
    </w:p>
    <w:p w14:paraId="6921D85F" w14:textId="77777777" w:rsidR="006D042E" w:rsidRDefault="006D042E" w:rsidP="004B025A">
      <w:pPr>
        <w:autoSpaceDE w:val="0"/>
        <w:autoSpaceDN w:val="0"/>
        <w:adjustRightInd w:val="0"/>
        <w:rPr>
          <w:b/>
        </w:rPr>
      </w:pPr>
    </w:p>
    <w:p w14:paraId="5276A487" w14:textId="77777777" w:rsidR="004B025A" w:rsidRPr="00267F23" w:rsidRDefault="004B025A" w:rsidP="004B025A">
      <w:pPr>
        <w:autoSpaceDE w:val="0"/>
        <w:autoSpaceDN w:val="0"/>
        <w:adjustRightInd w:val="0"/>
        <w:rPr>
          <w:b/>
        </w:rPr>
      </w:pPr>
      <w:r w:rsidRPr="00267F23">
        <w:rPr>
          <w:b/>
        </w:rPr>
        <w:t>Grading</w:t>
      </w:r>
    </w:p>
    <w:p w14:paraId="2C92BE17" w14:textId="77777777" w:rsidR="00A111F4" w:rsidRDefault="004B025A" w:rsidP="004B025A">
      <w:r>
        <w:tab/>
      </w:r>
    </w:p>
    <w:p w14:paraId="1493332D" w14:textId="77777777" w:rsidR="00263456" w:rsidRDefault="00D35167" w:rsidP="00D35167">
      <w:r>
        <w:t>Fina 4355</w:t>
      </w:r>
      <w:r>
        <w:tab/>
        <w:t xml:space="preserve">Points Possible        </w:t>
      </w:r>
      <w:r>
        <w:tab/>
      </w:r>
      <w:r w:rsidR="00263456">
        <w:t>Assignment</w:t>
      </w:r>
    </w:p>
    <w:p w14:paraId="6E1F0F60" w14:textId="77777777" w:rsidR="00263456" w:rsidRDefault="00263456" w:rsidP="00263456"/>
    <w:p w14:paraId="389DC166" w14:textId="77777777" w:rsidR="00263456" w:rsidRDefault="00263456" w:rsidP="00263456">
      <w:pPr>
        <w:ind w:firstLine="720"/>
      </w:pPr>
      <w:r>
        <w:t xml:space="preserve">        </w:t>
      </w:r>
      <w:r w:rsidR="00D35167">
        <w:tab/>
      </w:r>
      <w:r w:rsidR="00D35167">
        <w:tab/>
      </w:r>
      <w:r>
        <w:t xml:space="preserve"> </w:t>
      </w:r>
      <w:r w:rsidR="00D35167">
        <w:t xml:space="preserve">  25</w:t>
      </w:r>
      <w:r w:rsidR="00D35167">
        <w:tab/>
        <w:t xml:space="preserve">          </w:t>
      </w:r>
      <w:r w:rsidR="00D35167">
        <w:tab/>
      </w:r>
      <w:r>
        <w:t>Course Information Quiz</w:t>
      </w:r>
    </w:p>
    <w:p w14:paraId="171132B6" w14:textId="77777777" w:rsidR="00263456" w:rsidRDefault="00263456" w:rsidP="00263456">
      <w:pPr>
        <w:ind w:firstLine="720"/>
        <w:rPr>
          <w:u w:val="single"/>
        </w:rPr>
      </w:pPr>
      <w:r>
        <w:t xml:space="preserve">       </w:t>
      </w:r>
      <w:r w:rsidR="00D35167">
        <w:tab/>
      </w:r>
      <w:r w:rsidR="00D35167">
        <w:tab/>
        <w:t xml:space="preserve"> </w:t>
      </w:r>
      <w:r w:rsidR="009877E7">
        <w:rPr>
          <w:u w:val="single"/>
        </w:rPr>
        <w:t>6</w:t>
      </w:r>
      <w:r w:rsidR="00870D58">
        <w:rPr>
          <w:u w:val="single"/>
        </w:rPr>
        <w:t>0</w:t>
      </w:r>
      <w:r w:rsidR="0057761C">
        <w:rPr>
          <w:u w:val="single"/>
        </w:rPr>
        <w:t>0</w:t>
      </w:r>
      <w:r>
        <w:t xml:space="preserve">      </w:t>
      </w:r>
      <w:r w:rsidR="00D35167">
        <w:t xml:space="preserve">          </w:t>
      </w:r>
      <w:r w:rsidR="00D35167">
        <w:tab/>
      </w:r>
      <w:r w:rsidR="00D35167">
        <w:rPr>
          <w:u w:val="single"/>
        </w:rPr>
        <w:t>6</w:t>
      </w:r>
      <w:r w:rsidR="00D35167" w:rsidRPr="00D35167">
        <w:rPr>
          <w:u w:val="single"/>
        </w:rPr>
        <w:t xml:space="preserve"> </w:t>
      </w:r>
      <w:r w:rsidR="009877E7">
        <w:rPr>
          <w:u w:val="single"/>
        </w:rPr>
        <w:t xml:space="preserve">(out of 8) </w:t>
      </w:r>
      <w:r w:rsidR="00D35167">
        <w:rPr>
          <w:u w:val="single"/>
        </w:rPr>
        <w:t>Unit</w:t>
      </w:r>
      <w:r w:rsidRPr="008F585E">
        <w:rPr>
          <w:u w:val="single"/>
        </w:rPr>
        <w:t xml:space="preserve"> Quizzes</w:t>
      </w:r>
      <w:r w:rsidR="009877E7">
        <w:t xml:space="preserve"> </w:t>
      </w:r>
    </w:p>
    <w:p w14:paraId="09D31CA1" w14:textId="77777777" w:rsidR="00263456" w:rsidRDefault="00263456" w:rsidP="00263456">
      <w:pPr>
        <w:ind w:firstLine="720"/>
      </w:pPr>
      <w:r>
        <w:t xml:space="preserve">      </w:t>
      </w:r>
      <w:r w:rsidR="00D35167">
        <w:tab/>
      </w:r>
      <w:r w:rsidR="00D35167">
        <w:tab/>
      </w:r>
      <w:r>
        <w:t xml:space="preserve"> </w:t>
      </w:r>
      <w:r w:rsidR="009877E7">
        <w:t>6</w:t>
      </w:r>
      <w:r w:rsidR="00870D58">
        <w:t>2</w:t>
      </w:r>
      <w:r w:rsidR="0057761C">
        <w:t>5</w:t>
      </w:r>
      <w:r>
        <w:t xml:space="preserve">  </w:t>
      </w:r>
      <w:r>
        <w:tab/>
      </w:r>
      <w:r>
        <w:tab/>
        <w:t xml:space="preserve">Total    </w:t>
      </w:r>
    </w:p>
    <w:p w14:paraId="02FDFBEC" w14:textId="77777777" w:rsidR="00275C12" w:rsidRPr="008F585E" w:rsidRDefault="00275C12" w:rsidP="00263456">
      <w:pPr>
        <w:ind w:firstLine="720"/>
        <w:rPr>
          <w:u w:val="single"/>
        </w:rPr>
      </w:pPr>
    </w:p>
    <w:p w14:paraId="64B63F62" w14:textId="77777777" w:rsidR="00D35167" w:rsidRDefault="00D35167" w:rsidP="00D35167">
      <w:r>
        <w:t xml:space="preserve">Fina </w:t>
      </w:r>
      <w:r w:rsidR="00275C12">
        <w:t>5</w:t>
      </w:r>
      <w:r>
        <w:t>355</w:t>
      </w:r>
      <w:r>
        <w:tab/>
        <w:t xml:space="preserve">Points Possible        </w:t>
      </w:r>
      <w:r>
        <w:tab/>
        <w:t>Assignment</w:t>
      </w:r>
    </w:p>
    <w:p w14:paraId="3EAA8AB7" w14:textId="77777777" w:rsidR="00D35167" w:rsidRDefault="00D35167" w:rsidP="00D35167"/>
    <w:p w14:paraId="2F985F7B" w14:textId="77777777" w:rsidR="00D35167" w:rsidRDefault="00D35167" w:rsidP="00D35167">
      <w:pPr>
        <w:ind w:firstLine="720"/>
      </w:pPr>
      <w:r>
        <w:t xml:space="preserve">        </w:t>
      </w:r>
      <w:r>
        <w:tab/>
      </w:r>
      <w:r>
        <w:tab/>
        <w:t xml:space="preserve">   25</w:t>
      </w:r>
      <w:r>
        <w:tab/>
        <w:t xml:space="preserve">          </w:t>
      </w:r>
      <w:r>
        <w:tab/>
        <w:t>Course Information Quiz</w:t>
      </w:r>
    </w:p>
    <w:p w14:paraId="0393B2BA" w14:textId="77777777" w:rsidR="00D35167" w:rsidRDefault="00D35167" w:rsidP="00D35167">
      <w:pPr>
        <w:ind w:firstLine="720"/>
        <w:rPr>
          <w:u w:val="single"/>
        </w:rPr>
      </w:pPr>
      <w:r>
        <w:t xml:space="preserve">       </w:t>
      </w:r>
      <w:r>
        <w:tab/>
      </w:r>
      <w:r>
        <w:tab/>
        <w:t xml:space="preserve"> </w:t>
      </w:r>
      <w:r w:rsidR="009877E7">
        <w:rPr>
          <w:u w:val="single"/>
        </w:rPr>
        <w:t>7</w:t>
      </w:r>
      <w:r>
        <w:rPr>
          <w:u w:val="single"/>
        </w:rPr>
        <w:t>00</w:t>
      </w:r>
      <w:r>
        <w:t xml:space="preserve">                </w:t>
      </w:r>
      <w:r>
        <w:tab/>
      </w:r>
      <w:r>
        <w:rPr>
          <w:u w:val="single"/>
        </w:rPr>
        <w:t>7</w:t>
      </w:r>
      <w:r w:rsidRPr="00D35167">
        <w:rPr>
          <w:u w:val="single"/>
        </w:rPr>
        <w:t xml:space="preserve"> </w:t>
      </w:r>
      <w:r w:rsidR="009877E7">
        <w:rPr>
          <w:u w:val="single"/>
        </w:rPr>
        <w:t xml:space="preserve">(out of 8) </w:t>
      </w:r>
      <w:r>
        <w:rPr>
          <w:u w:val="single"/>
        </w:rPr>
        <w:t>Unit</w:t>
      </w:r>
      <w:r w:rsidRPr="008F585E">
        <w:rPr>
          <w:u w:val="single"/>
        </w:rPr>
        <w:t xml:space="preserve"> Quizzes</w:t>
      </w:r>
    </w:p>
    <w:p w14:paraId="543C3028" w14:textId="77777777" w:rsidR="00D35167" w:rsidRPr="008F585E" w:rsidRDefault="00D35167" w:rsidP="00D35167">
      <w:pPr>
        <w:ind w:firstLine="720"/>
        <w:rPr>
          <w:u w:val="single"/>
        </w:rPr>
      </w:pPr>
      <w:r>
        <w:t xml:space="preserve">      </w:t>
      </w:r>
      <w:r>
        <w:tab/>
      </w:r>
      <w:r>
        <w:tab/>
        <w:t xml:space="preserve"> </w:t>
      </w:r>
      <w:r w:rsidR="009877E7">
        <w:t>7</w:t>
      </w:r>
      <w:r>
        <w:t xml:space="preserve">25  </w:t>
      </w:r>
      <w:r>
        <w:tab/>
      </w:r>
      <w:r>
        <w:tab/>
        <w:t xml:space="preserve">Total    </w:t>
      </w:r>
    </w:p>
    <w:p w14:paraId="24105D47" w14:textId="77777777" w:rsidR="00263456" w:rsidRDefault="00263456" w:rsidP="00263456"/>
    <w:p w14:paraId="22D7321B" w14:textId="77777777" w:rsidR="00F006E0" w:rsidRPr="00276CA9" w:rsidRDefault="00F006E0" w:rsidP="00F006E0">
      <w:pPr>
        <w:ind w:firstLine="720"/>
      </w:pPr>
      <w:r w:rsidRPr="00276CA9">
        <w:t xml:space="preserve">90.00% or above    </w:t>
      </w:r>
      <w:r w:rsidRPr="00276CA9">
        <w:tab/>
      </w:r>
      <w:r w:rsidRPr="00276CA9">
        <w:sym w:font="Wingdings" w:char="F0E0"/>
      </w:r>
      <w:r w:rsidRPr="00276CA9">
        <w:t xml:space="preserve"> A</w:t>
      </w:r>
    </w:p>
    <w:p w14:paraId="34A9E9F6" w14:textId="77777777" w:rsidR="00F006E0" w:rsidRPr="00276CA9" w:rsidRDefault="00F006E0" w:rsidP="00F006E0">
      <w:pPr>
        <w:ind w:firstLine="720"/>
      </w:pPr>
      <w:r w:rsidRPr="00276CA9">
        <w:t xml:space="preserve">80.00% to 89.99%  </w:t>
      </w:r>
      <w:r w:rsidRPr="00276CA9">
        <w:tab/>
      </w:r>
      <w:r w:rsidRPr="00276CA9">
        <w:sym w:font="Wingdings" w:char="F0E0"/>
      </w:r>
      <w:r w:rsidRPr="00276CA9">
        <w:t xml:space="preserve"> B</w:t>
      </w:r>
    </w:p>
    <w:p w14:paraId="75814606" w14:textId="77777777" w:rsidR="00F006E0" w:rsidRPr="00276CA9" w:rsidRDefault="00F006E0" w:rsidP="00F006E0">
      <w:pPr>
        <w:ind w:firstLine="720"/>
      </w:pPr>
      <w:r w:rsidRPr="00276CA9">
        <w:t xml:space="preserve">70.00% to 79.99%  </w:t>
      </w:r>
      <w:r w:rsidRPr="00276CA9">
        <w:tab/>
      </w:r>
      <w:r w:rsidRPr="00276CA9">
        <w:sym w:font="Wingdings" w:char="F0E0"/>
      </w:r>
      <w:r w:rsidRPr="00276CA9">
        <w:t xml:space="preserve"> C</w:t>
      </w:r>
    </w:p>
    <w:p w14:paraId="7B685534" w14:textId="77777777" w:rsidR="00F006E0" w:rsidRPr="00276CA9" w:rsidRDefault="00F006E0" w:rsidP="00F006E0">
      <w:pPr>
        <w:ind w:firstLine="720"/>
      </w:pPr>
      <w:r w:rsidRPr="00276CA9">
        <w:t xml:space="preserve">60.00% to 69.99%  </w:t>
      </w:r>
      <w:r w:rsidRPr="00276CA9">
        <w:tab/>
      </w:r>
      <w:r w:rsidRPr="00276CA9">
        <w:sym w:font="Wingdings" w:char="F0E0"/>
      </w:r>
      <w:r w:rsidRPr="00276CA9">
        <w:t xml:space="preserve"> D</w:t>
      </w:r>
    </w:p>
    <w:p w14:paraId="6C99A400" w14:textId="77777777" w:rsidR="00F006E0" w:rsidRPr="00276CA9" w:rsidRDefault="00F006E0" w:rsidP="00F006E0">
      <w:pPr>
        <w:ind w:firstLine="720"/>
      </w:pPr>
      <w:r w:rsidRPr="00276CA9">
        <w:lastRenderedPageBreak/>
        <w:t xml:space="preserve">59.99% or below    </w:t>
      </w:r>
      <w:r w:rsidRPr="00276CA9">
        <w:tab/>
      </w:r>
      <w:r w:rsidRPr="00276CA9">
        <w:sym w:font="Wingdings" w:char="F0E0"/>
      </w:r>
      <w:r w:rsidRPr="00276CA9">
        <w:t xml:space="preserve"> F</w:t>
      </w:r>
    </w:p>
    <w:p w14:paraId="5D35746E" w14:textId="77777777" w:rsidR="004B025A" w:rsidRDefault="004B025A" w:rsidP="004B025A">
      <w:pPr>
        <w:jc w:val="both"/>
      </w:pPr>
    </w:p>
    <w:p w14:paraId="66C09778" w14:textId="77777777" w:rsidR="006616EB" w:rsidRDefault="00F6695D" w:rsidP="00A53451">
      <w:pPr>
        <w:jc w:val="both"/>
      </w:pPr>
      <w:r>
        <w:t>Your course grade is computed using the following procedure (so you can use it to monitor your performance in the course at any time): (1) Points earned from Course Information Quiz (se</w:t>
      </w:r>
      <w:r w:rsidR="00275C12">
        <w:t>e below) and all module quizzes</w:t>
      </w:r>
      <w:r w:rsidR="002910C4">
        <w:t xml:space="preserve"> </w:t>
      </w:r>
      <w:r>
        <w:t>taken will be summed</w:t>
      </w:r>
      <w:r w:rsidR="00172CD6">
        <w:t xml:space="preserve"> as well as extra credit homewo</w:t>
      </w:r>
      <w:r w:rsidR="00C7407F">
        <w:t>rk assignments for modules 4,</w:t>
      </w:r>
      <w:r w:rsidR="00172CD6">
        <w:t xml:space="preserve"> 5</w:t>
      </w:r>
      <w:r w:rsidR="00C7407F">
        <w:t xml:space="preserve"> and 7</w:t>
      </w:r>
      <w:r>
        <w:t xml:space="preserve">, (2) The total number of points earned as computed in previous step will be divided by </w:t>
      </w:r>
      <w:r w:rsidR="00C7407F">
        <w:t>6</w:t>
      </w:r>
      <w:r>
        <w:t>25</w:t>
      </w:r>
      <w:r w:rsidR="00172CD6">
        <w:t xml:space="preserve"> (Fina 4355) or </w:t>
      </w:r>
      <w:r w:rsidR="00C7407F">
        <w:t>7</w:t>
      </w:r>
      <w:r w:rsidR="00172CD6">
        <w:t>25 (Fina 5355)</w:t>
      </w:r>
      <w:r>
        <w:t xml:space="preserve"> to obtain a percentage, (3) The percentage obtained in previous step will be converted into a letter grade according to the grading scale shown above.</w:t>
      </w:r>
    </w:p>
    <w:p w14:paraId="057FCBEF" w14:textId="77777777" w:rsidR="004D5008" w:rsidRDefault="004D5008" w:rsidP="00A53451">
      <w:pPr>
        <w:jc w:val="both"/>
      </w:pPr>
    </w:p>
    <w:p w14:paraId="12BF5489" w14:textId="63CCC4EC" w:rsidR="005066CB" w:rsidRDefault="005066CB" w:rsidP="005066CB">
      <w:pPr>
        <w:jc w:val="both"/>
        <w:rPr>
          <w:b/>
          <w:i/>
          <w:u w:val="single"/>
        </w:rPr>
      </w:pPr>
      <w:r w:rsidRPr="006F7BF8">
        <w:rPr>
          <w:b/>
          <w:i/>
          <w:u w:val="single"/>
        </w:rPr>
        <w:t>Note: You can always estimate your grade following the procedu</w:t>
      </w:r>
      <w:r>
        <w:rPr>
          <w:b/>
          <w:i/>
          <w:u w:val="single"/>
        </w:rPr>
        <w:t xml:space="preserve">re outlined above and ALL (EMAIL, TELEPHONE or IN-PERSON) request </w:t>
      </w:r>
      <w:r w:rsidRPr="006F7BF8">
        <w:rPr>
          <w:b/>
          <w:i/>
          <w:u w:val="single"/>
        </w:rPr>
        <w:t xml:space="preserve">to confirm </w:t>
      </w:r>
      <w:r>
        <w:rPr>
          <w:b/>
          <w:i/>
          <w:u w:val="single"/>
        </w:rPr>
        <w:t>or verify grades will be REFUSED</w:t>
      </w:r>
      <w:r w:rsidRPr="006F7BF8">
        <w:rPr>
          <w:b/>
          <w:i/>
          <w:u w:val="single"/>
        </w:rPr>
        <w:t>.</w:t>
      </w:r>
      <w:r>
        <w:rPr>
          <w:b/>
          <w:i/>
          <w:u w:val="single"/>
        </w:rPr>
        <w:t xml:space="preserve"> The instructor is not allowed to disclose grades using email and once the 12 noon May </w:t>
      </w:r>
      <w:r w:rsidR="00643FE5">
        <w:rPr>
          <w:b/>
          <w:i/>
          <w:u w:val="single"/>
        </w:rPr>
        <w:t>1</w:t>
      </w:r>
      <w:r>
        <w:rPr>
          <w:b/>
          <w:i/>
          <w:u w:val="single"/>
        </w:rPr>
        <w:t>, 20</w:t>
      </w:r>
      <w:r w:rsidR="00643FE5">
        <w:rPr>
          <w:b/>
          <w:i/>
          <w:u w:val="single"/>
        </w:rPr>
        <w:t>20</w:t>
      </w:r>
      <w:r>
        <w:rPr>
          <w:b/>
          <w:i/>
          <w:u w:val="single"/>
        </w:rPr>
        <w:t xml:space="preserve"> deadline to take the final unit quiz passes, your final course grade will be posted shortly thereafter in the Canvas grade center.</w:t>
      </w:r>
    </w:p>
    <w:p w14:paraId="511AD4E6" w14:textId="77777777" w:rsidR="005066CB" w:rsidRDefault="005066CB" w:rsidP="005066CB">
      <w:pPr>
        <w:jc w:val="both"/>
        <w:rPr>
          <w:b/>
          <w:i/>
          <w:u w:val="single"/>
        </w:rPr>
      </w:pPr>
    </w:p>
    <w:p w14:paraId="0D666030" w14:textId="77777777" w:rsidR="005066CB" w:rsidRPr="00D8042B" w:rsidRDefault="005066CB" w:rsidP="005066CB">
      <w:pPr>
        <w:jc w:val="both"/>
        <w:rPr>
          <w:b/>
          <w:i/>
          <w:u w:val="single"/>
        </w:rPr>
      </w:pPr>
      <w:r w:rsidRPr="00D8042B">
        <w:rPr>
          <w:b/>
          <w:i/>
          <w:u w:val="single"/>
        </w:rPr>
        <w:t>Canvas has a grade calculation feature that produces percentages which differ from what is shown above. In particular, extra credit assignments are factored in consideration of total number of points possible. The instru</w:t>
      </w:r>
      <w:r>
        <w:rPr>
          <w:b/>
          <w:i/>
          <w:u w:val="single"/>
        </w:rPr>
        <w:t>ctor has no control over how this</w:t>
      </w:r>
      <w:r w:rsidRPr="00D8042B">
        <w:rPr>
          <w:b/>
          <w:i/>
          <w:u w:val="single"/>
        </w:rPr>
        <w:t xml:space="preserve"> feature does the grade calculations so you generally CANNOT rely on the grade shown in Canvas but must use the procedure described above to estimate your grade because they are unlikely to be the same except under some rare circumstances.</w:t>
      </w:r>
    </w:p>
    <w:p w14:paraId="2B84C2BE" w14:textId="77777777" w:rsidR="00C70C2E" w:rsidRDefault="00C70C2E" w:rsidP="00A53451">
      <w:pPr>
        <w:jc w:val="both"/>
      </w:pPr>
    </w:p>
    <w:p w14:paraId="1F2FBA6F" w14:textId="77777777" w:rsidR="00A134C0" w:rsidRDefault="00A134C0" w:rsidP="00A134C0">
      <w:pPr>
        <w:jc w:val="both"/>
        <w:rPr>
          <w:b/>
        </w:rPr>
      </w:pPr>
      <w:r w:rsidRPr="00937C6A">
        <w:rPr>
          <w:b/>
        </w:rPr>
        <w:t>Extra Credit</w:t>
      </w:r>
    </w:p>
    <w:p w14:paraId="050FEBC6" w14:textId="77777777" w:rsidR="002F4B53" w:rsidRPr="00937C6A" w:rsidRDefault="002F4B53" w:rsidP="00A134C0">
      <w:pPr>
        <w:jc w:val="both"/>
        <w:rPr>
          <w:b/>
        </w:rPr>
      </w:pPr>
    </w:p>
    <w:p w14:paraId="4ED4CE4A" w14:textId="77777777" w:rsidR="00861544" w:rsidRDefault="00991506" w:rsidP="00A134C0">
      <w:pPr>
        <w:jc w:val="both"/>
      </w:pPr>
      <w:r>
        <w:t>All s</w:t>
      </w:r>
      <w:r w:rsidR="00A134C0">
        <w:t xml:space="preserve">tudents </w:t>
      </w:r>
      <w:r w:rsidR="00172CD6">
        <w:rPr>
          <w:b/>
          <w:i/>
          <w:u w:val="single"/>
        </w:rPr>
        <w:t>will</w:t>
      </w:r>
      <w:r w:rsidR="00172CD6">
        <w:t xml:space="preserve"> have</w:t>
      </w:r>
      <w:r w:rsidR="00A134C0">
        <w:t xml:space="preserve"> opportunities to earn extra credit </w:t>
      </w:r>
      <w:r w:rsidR="00347785">
        <w:t>from five of the ten questions on the Course Information Quiz</w:t>
      </w:r>
      <w:r>
        <w:t xml:space="preserve"> and three optional homework assignments (from Units 4, 5 and </w:t>
      </w:r>
      <w:r w:rsidR="00E97D69">
        <w:t>7</w:t>
      </w:r>
      <w:r>
        <w:t>) worth 25 points each. Students in Fina 4355 can take up to two optional extra credit unit quizzes</w:t>
      </w:r>
      <w:r w:rsidR="00172CD6">
        <w:t xml:space="preserve"> </w:t>
      </w:r>
      <w:r>
        <w:t>while those in Fina 5355 have the option of taking an optional extra credit unit quiz</w:t>
      </w:r>
      <w:r w:rsidR="00A134C0">
        <w:t xml:space="preserve">. </w:t>
      </w:r>
    </w:p>
    <w:p w14:paraId="54FAD209" w14:textId="77777777" w:rsidR="00172CD6" w:rsidRDefault="00172CD6" w:rsidP="00A134C0">
      <w:pPr>
        <w:jc w:val="both"/>
      </w:pPr>
    </w:p>
    <w:p w14:paraId="3558855A" w14:textId="77777777" w:rsidR="00C97FD3" w:rsidRPr="00FF2550" w:rsidRDefault="00861544" w:rsidP="00C97FD3">
      <w:pPr>
        <w:jc w:val="both"/>
      </w:pPr>
      <w:r w:rsidRPr="003158F4">
        <w:rPr>
          <w:b/>
          <w:i/>
          <w:u w:val="single"/>
        </w:rPr>
        <w:t>WARNING</w:t>
      </w:r>
      <w:r>
        <w:t xml:space="preserve">: </w:t>
      </w:r>
      <w:r w:rsidR="00A5088E">
        <w:t xml:space="preserve">Since you will be given ample </w:t>
      </w:r>
      <w:r w:rsidR="00C97FD3" w:rsidRPr="00726055">
        <w:t xml:space="preserve">opportunities to earn extra credit throughout the course, attempts to change your grade at the end of the semester by asking the instructor to “round up” or by asking for further extra credit </w:t>
      </w:r>
      <w:r w:rsidR="00C97FD3" w:rsidRPr="00726055">
        <w:rPr>
          <w:b/>
          <w:i/>
          <w:u w:val="single"/>
        </w:rPr>
        <w:t>will be ignored</w:t>
      </w:r>
      <w:r w:rsidR="002910C4">
        <w:t>.</w:t>
      </w:r>
    </w:p>
    <w:p w14:paraId="20009E9F" w14:textId="77777777" w:rsidR="00201040" w:rsidRPr="00E134C4" w:rsidRDefault="00201040" w:rsidP="00201040">
      <w:pPr>
        <w:autoSpaceDE w:val="0"/>
        <w:autoSpaceDN w:val="0"/>
        <w:adjustRightInd w:val="0"/>
        <w:rPr>
          <w:b/>
          <w:bCs/>
          <w:color w:val="000000"/>
        </w:rPr>
      </w:pPr>
    </w:p>
    <w:p w14:paraId="52D1F3D5" w14:textId="77777777" w:rsidR="00201040" w:rsidRPr="00E134C4" w:rsidRDefault="00201040" w:rsidP="00201040">
      <w:pPr>
        <w:autoSpaceDE w:val="0"/>
        <w:autoSpaceDN w:val="0"/>
        <w:adjustRightInd w:val="0"/>
        <w:rPr>
          <w:rFonts w:eastAsiaTheme="minorHAnsi"/>
          <w:b/>
          <w:color w:val="000000"/>
        </w:rPr>
      </w:pPr>
      <w:r w:rsidRPr="00E134C4">
        <w:rPr>
          <w:rFonts w:eastAsiaTheme="minorHAnsi"/>
          <w:b/>
          <w:color w:val="000000"/>
        </w:rPr>
        <w:t xml:space="preserve">UT Tyler Honor Code </w:t>
      </w:r>
    </w:p>
    <w:p w14:paraId="5B840373" w14:textId="77777777" w:rsidR="00201040" w:rsidRPr="00E134C4" w:rsidRDefault="00201040" w:rsidP="00201040">
      <w:pPr>
        <w:autoSpaceDE w:val="0"/>
        <w:autoSpaceDN w:val="0"/>
        <w:adjustRightInd w:val="0"/>
        <w:rPr>
          <w:rFonts w:eastAsiaTheme="minorHAnsi"/>
          <w:b/>
          <w:color w:val="000000"/>
        </w:rPr>
      </w:pPr>
    </w:p>
    <w:p w14:paraId="72854125" w14:textId="77777777" w:rsidR="00201040" w:rsidRDefault="00201040" w:rsidP="00201040">
      <w:pPr>
        <w:autoSpaceDE w:val="0"/>
        <w:autoSpaceDN w:val="0"/>
        <w:adjustRightInd w:val="0"/>
        <w:rPr>
          <w:rFonts w:eastAsiaTheme="minorHAnsi"/>
          <w:color w:val="000000"/>
        </w:rPr>
      </w:pPr>
      <w:r w:rsidRPr="00E134C4">
        <w:rPr>
          <w:rFonts w:eastAsiaTheme="minorHAnsi"/>
          <w:color w:val="000000"/>
        </w:rPr>
        <w:t xml:space="preserve">Every member of the UT Tyler community joins together to embrace: Honor and integrity that will not allow me to lie, cheat, or steal, nor to accept the actions of those who do. </w:t>
      </w:r>
    </w:p>
    <w:p w14:paraId="7D2117A2" w14:textId="77777777" w:rsidR="00201040" w:rsidRDefault="00201040" w:rsidP="00201040">
      <w:pPr>
        <w:autoSpaceDE w:val="0"/>
        <w:autoSpaceDN w:val="0"/>
        <w:adjustRightInd w:val="0"/>
        <w:rPr>
          <w:rFonts w:eastAsiaTheme="minorHAnsi"/>
          <w:color w:val="000000"/>
        </w:rPr>
      </w:pPr>
    </w:p>
    <w:p w14:paraId="799490F8" w14:textId="77777777" w:rsidR="00201040" w:rsidRPr="00E134C4" w:rsidRDefault="00201040" w:rsidP="00201040">
      <w:pPr>
        <w:autoSpaceDE w:val="0"/>
        <w:autoSpaceDN w:val="0"/>
        <w:adjustRightInd w:val="0"/>
        <w:rPr>
          <w:rFonts w:eastAsiaTheme="minorHAnsi"/>
          <w:b/>
          <w:color w:val="000000"/>
        </w:rPr>
      </w:pPr>
      <w:r w:rsidRPr="00E134C4">
        <w:rPr>
          <w:rFonts w:eastAsiaTheme="minorHAnsi"/>
          <w:b/>
          <w:color w:val="000000"/>
        </w:rPr>
        <w:t xml:space="preserve">Students Rights and Responsibilities </w:t>
      </w:r>
    </w:p>
    <w:p w14:paraId="538A6251" w14:textId="77777777" w:rsidR="00201040" w:rsidRPr="00E134C4" w:rsidRDefault="00201040" w:rsidP="00201040">
      <w:pPr>
        <w:autoSpaceDE w:val="0"/>
        <w:autoSpaceDN w:val="0"/>
        <w:adjustRightInd w:val="0"/>
        <w:rPr>
          <w:rFonts w:eastAsiaTheme="minorHAnsi"/>
          <w:b/>
          <w:color w:val="000000"/>
        </w:rPr>
      </w:pPr>
    </w:p>
    <w:p w14:paraId="7EEAB0BD" w14:textId="77777777" w:rsidR="00201040" w:rsidRPr="00E134C4" w:rsidRDefault="00201040" w:rsidP="00201040">
      <w:pPr>
        <w:autoSpaceDE w:val="0"/>
        <w:autoSpaceDN w:val="0"/>
        <w:adjustRightInd w:val="0"/>
        <w:rPr>
          <w:rFonts w:eastAsiaTheme="minorHAnsi"/>
          <w:color w:val="000000"/>
        </w:rPr>
      </w:pPr>
      <w:r w:rsidRPr="00E134C4">
        <w:rPr>
          <w:rFonts w:eastAsiaTheme="minorHAnsi"/>
          <w:color w:val="000000"/>
        </w:rPr>
        <w:t xml:space="preserve">To know and understand the policies that affect your rights and responsibilities as a student at UT Tyler including the areas listed below, please follow this link: </w:t>
      </w:r>
      <w:hyperlink r:id="rId6" w:history="1">
        <w:r w:rsidRPr="00E134C4">
          <w:rPr>
            <w:rFonts w:eastAsiaTheme="minorHAnsi"/>
            <w:color w:val="0000FF"/>
            <w:u w:val="single"/>
          </w:rPr>
          <w:t>http://www.uttyler.edu/wellness/rightsresponsibilities.php</w:t>
        </w:r>
      </w:hyperlink>
      <w:r w:rsidRPr="00E134C4">
        <w:rPr>
          <w:rFonts w:eastAsiaTheme="minorHAnsi"/>
          <w:color w:val="000000"/>
        </w:rPr>
        <w:t xml:space="preserve"> </w:t>
      </w:r>
    </w:p>
    <w:p w14:paraId="0C8B3168" w14:textId="77777777" w:rsidR="00201040" w:rsidRPr="00E134C4" w:rsidRDefault="00201040" w:rsidP="00201040">
      <w:pPr>
        <w:shd w:val="clear" w:color="auto" w:fill="FFFFFF"/>
        <w:textAlignment w:val="baseline"/>
        <w:outlineLvl w:val="1"/>
        <w:rPr>
          <w:rFonts w:ascii="Helvetica" w:hAnsi="Helvetica" w:cs="Helvetica"/>
          <w:b/>
          <w:bCs/>
          <w:color w:val="11336A"/>
          <w:sz w:val="31"/>
          <w:szCs w:val="31"/>
        </w:rPr>
      </w:pPr>
    </w:p>
    <w:p w14:paraId="52F3283D" w14:textId="77777777" w:rsidR="00201040" w:rsidRPr="00E134C4" w:rsidRDefault="00383F38" w:rsidP="00201040">
      <w:pPr>
        <w:numPr>
          <w:ilvl w:val="0"/>
          <w:numId w:val="3"/>
        </w:numPr>
        <w:shd w:val="clear" w:color="auto" w:fill="FFFFFF"/>
        <w:textAlignment w:val="baseline"/>
        <w:rPr>
          <w:rFonts w:ascii="inherit" w:hAnsi="inherit" w:cs="Helvetica"/>
          <w:color w:val="5A5A5A"/>
          <w:sz w:val="27"/>
          <w:szCs w:val="27"/>
        </w:rPr>
      </w:pPr>
      <w:hyperlink r:id="rId7" w:history="1">
        <w:r w:rsidR="00201040" w:rsidRPr="00E134C4">
          <w:rPr>
            <w:rFonts w:ascii="inherit" w:hAnsi="inherit" w:cs="Helvetica"/>
            <w:color w:val="CC6530"/>
            <w:sz w:val="27"/>
            <w:szCs w:val="27"/>
            <w:bdr w:val="none" w:sz="0" w:space="0" w:color="auto" w:frame="1"/>
          </w:rPr>
          <w:t>Academic Dishonesty</w:t>
        </w:r>
      </w:hyperlink>
    </w:p>
    <w:p w14:paraId="555B949C" w14:textId="77777777" w:rsidR="00201040" w:rsidRPr="00E134C4" w:rsidRDefault="00383F38" w:rsidP="00201040">
      <w:pPr>
        <w:numPr>
          <w:ilvl w:val="0"/>
          <w:numId w:val="3"/>
        </w:numPr>
        <w:shd w:val="clear" w:color="auto" w:fill="FFFFFF"/>
        <w:textAlignment w:val="baseline"/>
        <w:rPr>
          <w:rFonts w:ascii="inherit" w:hAnsi="inherit" w:cs="Helvetica"/>
          <w:color w:val="5A5A5A"/>
          <w:sz w:val="27"/>
          <w:szCs w:val="27"/>
        </w:rPr>
      </w:pPr>
      <w:hyperlink r:id="rId8" w:history="1">
        <w:r w:rsidR="00201040" w:rsidRPr="00E134C4">
          <w:rPr>
            <w:rFonts w:ascii="inherit" w:hAnsi="inherit" w:cs="Helvetica"/>
            <w:color w:val="CC6530"/>
            <w:sz w:val="27"/>
            <w:szCs w:val="27"/>
            <w:bdr w:val="none" w:sz="0" w:space="0" w:color="auto" w:frame="1"/>
          </w:rPr>
          <w:t>Academic Grievances</w:t>
        </w:r>
      </w:hyperlink>
    </w:p>
    <w:p w14:paraId="35610674" w14:textId="77777777" w:rsidR="00201040" w:rsidRPr="00E134C4" w:rsidRDefault="00383F38" w:rsidP="00201040">
      <w:pPr>
        <w:numPr>
          <w:ilvl w:val="0"/>
          <w:numId w:val="3"/>
        </w:numPr>
        <w:shd w:val="clear" w:color="auto" w:fill="FFFFFF"/>
        <w:textAlignment w:val="baseline"/>
        <w:rPr>
          <w:rFonts w:ascii="inherit" w:hAnsi="inherit" w:cs="Helvetica"/>
          <w:color w:val="5A5A5A"/>
          <w:sz w:val="27"/>
          <w:szCs w:val="27"/>
        </w:rPr>
      </w:pPr>
      <w:hyperlink r:id="rId9" w:history="1">
        <w:r w:rsidR="00201040" w:rsidRPr="00E134C4">
          <w:rPr>
            <w:rFonts w:ascii="inherit" w:hAnsi="inherit" w:cs="Helvetica"/>
            <w:color w:val="CC6530"/>
            <w:sz w:val="27"/>
            <w:szCs w:val="27"/>
            <w:bdr w:val="none" w:sz="0" w:space="0" w:color="auto" w:frame="1"/>
          </w:rPr>
          <w:t>Alcohol, Tobacco and Other Drug Policies</w:t>
        </w:r>
      </w:hyperlink>
    </w:p>
    <w:p w14:paraId="66416B8D" w14:textId="77777777" w:rsidR="00201040" w:rsidRPr="00E134C4" w:rsidRDefault="00383F38" w:rsidP="00201040">
      <w:pPr>
        <w:numPr>
          <w:ilvl w:val="1"/>
          <w:numId w:val="3"/>
        </w:numPr>
        <w:shd w:val="clear" w:color="auto" w:fill="FFFFFF"/>
        <w:textAlignment w:val="baseline"/>
        <w:rPr>
          <w:rFonts w:ascii="inherit" w:hAnsi="inherit" w:cs="Helvetica"/>
          <w:color w:val="5A5A5A"/>
          <w:sz w:val="27"/>
          <w:szCs w:val="27"/>
        </w:rPr>
      </w:pPr>
      <w:hyperlink r:id="rId10" w:history="1">
        <w:r w:rsidR="00201040" w:rsidRPr="00E134C4">
          <w:rPr>
            <w:rFonts w:ascii="inherit" w:hAnsi="inherit" w:cs="Helvetica"/>
            <w:color w:val="CC6530"/>
            <w:sz w:val="27"/>
            <w:szCs w:val="27"/>
            <w:bdr w:val="none" w:sz="0" w:space="0" w:color="auto" w:frame="1"/>
          </w:rPr>
          <w:t>Permission to Serve Alcoholic Beverages Form</w:t>
        </w:r>
      </w:hyperlink>
    </w:p>
    <w:p w14:paraId="76C7F123" w14:textId="77777777" w:rsidR="00201040" w:rsidRPr="00E134C4" w:rsidRDefault="00383F38" w:rsidP="00201040">
      <w:pPr>
        <w:numPr>
          <w:ilvl w:val="0"/>
          <w:numId w:val="3"/>
        </w:numPr>
        <w:shd w:val="clear" w:color="auto" w:fill="FFFFFF"/>
        <w:textAlignment w:val="baseline"/>
        <w:rPr>
          <w:rFonts w:ascii="inherit" w:hAnsi="inherit" w:cs="Helvetica"/>
          <w:color w:val="5A5A5A"/>
          <w:sz w:val="27"/>
          <w:szCs w:val="27"/>
        </w:rPr>
      </w:pPr>
      <w:hyperlink r:id="rId11" w:history="1">
        <w:r w:rsidR="00201040" w:rsidRPr="00E134C4">
          <w:rPr>
            <w:rFonts w:ascii="inherit" w:hAnsi="inherit" w:cs="Helvetica"/>
            <w:color w:val="CC6530"/>
            <w:sz w:val="27"/>
            <w:szCs w:val="27"/>
            <w:bdr w:val="none" w:sz="0" w:space="0" w:color="auto" w:frame="1"/>
          </w:rPr>
          <w:t>Athlete Conduct Policy</w:t>
        </w:r>
      </w:hyperlink>
    </w:p>
    <w:p w14:paraId="6F7AC1A6" w14:textId="77777777" w:rsidR="00201040" w:rsidRPr="00E134C4" w:rsidRDefault="00383F38" w:rsidP="00201040">
      <w:pPr>
        <w:numPr>
          <w:ilvl w:val="0"/>
          <w:numId w:val="3"/>
        </w:numPr>
        <w:shd w:val="clear" w:color="auto" w:fill="FFFFFF"/>
        <w:textAlignment w:val="baseline"/>
        <w:rPr>
          <w:rFonts w:ascii="inherit" w:hAnsi="inherit" w:cs="Helvetica"/>
          <w:color w:val="5A5A5A"/>
          <w:sz w:val="27"/>
          <w:szCs w:val="27"/>
        </w:rPr>
      </w:pPr>
      <w:hyperlink r:id="rId12" w:history="1">
        <w:r w:rsidR="00201040" w:rsidRPr="00E134C4">
          <w:rPr>
            <w:rFonts w:ascii="inherit" w:hAnsi="inherit" w:cs="Helvetica"/>
            <w:color w:val="CC6530"/>
            <w:sz w:val="27"/>
            <w:szCs w:val="27"/>
            <w:bdr w:val="none" w:sz="0" w:space="0" w:color="auto" w:frame="1"/>
          </w:rPr>
          <w:t>Student Conduct</w:t>
        </w:r>
      </w:hyperlink>
    </w:p>
    <w:p w14:paraId="5363F9E9" w14:textId="77777777" w:rsidR="00201040" w:rsidRPr="00E134C4" w:rsidRDefault="00383F38" w:rsidP="00201040">
      <w:pPr>
        <w:numPr>
          <w:ilvl w:val="0"/>
          <w:numId w:val="3"/>
        </w:numPr>
        <w:shd w:val="clear" w:color="auto" w:fill="FFFFFF"/>
        <w:textAlignment w:val="baseline"/>
        <w:rPr>
          <w:rFonts w:ascii="inherit" w:hAnsi="inherit" w:cs="Helvetica"/>
          <w:color w:val="5A5A5A"/>
          <w:sz w:val="27"/>
          <w:szCs w:val="27"/>
        </w:rPr>
      </w:pPr>
      <w:hyperlink r:id="rId13" w:history="1">
        <w:r w:rsidR="00201040" w:rsidRPr="00E134C4">
          <w:rPr>
            <w:rFonts w:ascii="inherit" w:hAnsi="inherit" w:cs="Helvetica"/>
            <w:color w:val="CC6530"/>
            <w:sz w:val="27"/>
            <w:szCs w:val="27"/>
            <w:bdr w:val="none" w:sz="0" w:space="0" w:color="auto" w:frame="1"/>
          </w:rPr>
          <w:t>Rules and Regulations of the Board of Regents</w:t>
        </w:r>
      </w:hyperlink>
    </w:p>
    <w:p w14:paraId="3D773C2E" w14:textId="77777777" w:rsidR="00201040" w:rsidRPr="00E134C4" w:rsidRDefault="00383F38" w:rsidP="00201040">
      <w:pPr>
        <w:numPr>
          <w:ilvl w:val="0"/>
          <w:numId w:val="3"/>
        </w:numPr>
        <w:shd w:val="clear" w:color="auto" w:fill="FFFFFF"/>
        <w:textAlignment w:val="baseline"/>
        <w:rPr>
          <w:rFonts w:ascii="inherit" w:hAnsi="inherit" w:cs="Helvetica"/>
          <w:color w:val="5A5A5A"/>
          <w:sz w:val="27"/>
          <w:szCs w:val="27"/>
        </w:rPr>
      </w:pPr>
      <w:hyperlink r:id="rId14" w:history="1">
        <w:r w:rsidR="00201040" w:rsidRPr="00E134C4">
          <w:rPr>
            <w:rFonts w:ascii="inherit" w:hAnsi="inherit" w:cs="Helvetica"/>
            <w:color w:val="CC6530"/>
            <w:sz w:val="27"/>
            <w:szCs w:val="27"/>
            <w:bdr w:val="none" w:sz="0" w:space="0" w:color="auto" w:frame="1"/>
          </w:rPr>
          <w:t>Disciplinary Procedures</w:t>
        </w:r>
      </w:hyperlink>
      <w:r w:rsidR="00201040" w:rsidRPr="00E134C4">
        <w:rPr>
          <w:rFonts w:ascii="inherit" w:hAnsi="inherit" w:cs="Helvetica"/>
          <w:color w:val="5A5A5A"/>
          <w:sz w:val="27"/>
          <w:szCs w:val="27"/>
        </w:rPr>
        <w:t> – (Manual of Policies and Procedures for Student Affairs - Chapter 8)</w:t>
      </w:r>
    </w:p>
    <w:p w14:paraId="224C9711" w14:textId="77777777" w:rsidR="00201040" w:rsidRPr="00E134C4" w:rsidRDefault="00383F38" w:rsidP="00201040">
      <w:pPr>
        <w:numPr>
          <w:ilvl w:val="0"/>
          <w:numId w:val="3"/>
        </w:numPr>
        <w:shd w:val="clear" w:color="auto" w:fill="FFFFFF"/>
        <w:textAlignment w:val="baseline"/>
        <w:rPr>
          <w:rFonts w:ascii="inherit" w:hAnsi="inherit" w:cs="Helvetica"/>
          <w:color w:val="5A5A5A"/>
          <w:sz w:val="27"/>
          <w:szCs w:val="27"/>
        </w:rPr>
      </w:pPr>
      <w:hyperlink r:id="rId15" w:history="1">
        <w:r w:rsidR="00201040" w:rsidRPr="00E134C4">
          <w:rPr>
            <w:rFonts w:ascii="inherit" w:hAnsi="inherit" w:cs="Helvetica"/>
            <w:color w:val="CC6530"/>
            <w:sz w:val="27"/>
            <w:szCs w:val="27"/>
            <w:bdr w:val="none" w:sz="0" w:space="0" w:color="auto" w:frame="1"/>
          </w:rPr>
          <w:t>Family Educational Rights and Privacy Act (FERPA)</w:t>
        </w:r>
      </w:hyperlink>
    </w:p>
    <w:p w14:paraId="6F4C1F4B" w14:textId="77777777" w:rsidR="00201040" w:rsidRPr="00E134C4" w:rsidRDefault="00383F38" w:rsidP="00201040">
      <w:pPr>
        <w:numPr>
          <w:ilvl w:val="0"/>
          <w:numId w:val="3"/>
        </w:numPr>
        <w:shd w:val="clear" w:color="auto" w:fill="FFFFFF"/>
        <w:textAlignment w:val="baseline"/>
        <w:rPr>
          <w:rFonts w:ascii="inherit" w:hAnsi="inherit" w:cs="Helvetica"/>
          <w:color w:val="5A5A5A"/>
          <w:sz w:val="27"/>
          <w:szCs w:val="27"/>
        </w:rPr>
      </w:pPr>
      <w:hyperlink r:id="rId16" w:history="1">
        <w:r w:rsidR="00201040" w:rsidRPr="00E134C4">
          <w:rPr>
            <w:rFonts w:ascii="inherit" w:hAnsi="inherit" w:cs="Helvetica"/>
            <w:color w:val="CC6530"/>
            <w:sz w:val="27"/>
            <w:szCs w:val="27"/>
            <w:bdr w:val="none" w:sz="0" w:space="0" w:color="auto" w:frame="1"/>
          </w:rPr>
          <w:t>Hazing</w:t>
        </w:r>
      </w:hyperlink>
    </w:p>
    <w:p w14:paraId="56598252" w14:textId="77777777" w:rsidR="00201040" w:rsidRPr="00E134C4" w:rsidRDefault="00383F38" w:rsidP="00201040">
      <w:pPr>
        <w:numPr>
          <w:ilvl w:val="0"/>
          <w:numId w:val="3"/>
        </w:numPr>
        <w:shd w:val="clear" w:color="auto" w:fill="FFFFFF"/>
        <w:textAlignment w:val="baseline"/>
        <w:rPr>
          <w:rFonts w:ascii="inherit" w:hAnsi="inherit" w:cs="Helvetica"/>
          <w:color w:val="5A5A5A"/>
          <w:sz w:val="27"/>
          <w:szCs w:val="27"/>
        </w:rPr>
      </w:pPr>
      <w:hyperlink r:id="rId17" w:history="1">
        <w:r w:rsidR="00201040" w:rsidRPr="00E134C4">
          <w:rPr>
            <w:rFonts w:ascii="inherit" w:hAnsi="inherit" w:cs="Helvetica"/>
            <w:color w:val="CC6530"/>
            <w:sz w:val="27"/>
            <w:szCs w:val="27"/>
            <w:bdr w:val="none" w:sz="0" w:space="0" w:color="auto" w:frame="1"/>
          </w:rPr>
          <w:t>Nondiscrimination Policy and Complaint Procedure</w:t>
        </w:r>
      </w:hyperlink>
    </w:p>
    <w:p w14:paraId="42E96A37" w14:textId="77777777" w:rsidR="00201040" w:rsidRPr="00E134C4" w:rsidRDefault="00383F38" w:rsidP="00201040">
      <w:pPr>
        <w:numPr>
          <w:ilvl w:val="0"/>
          <w:numId w:val="3"/>
        </w:numPr>
        <w:shd w:val="clear" w:color="auto" w:fill="FFFFFF"/>
        <w:textAlignment w:val="baseline"/>
        <w:rPr>
          <w:rFonts w:ascii="inherit" w:hAnsi="inherit" w:cs="Helvetica"/>
          <w:color w:val="5A5A5A"/>
          <w:sz w:val="27"/>
          <w:szCs w:val="27"/>
        </w:rPr>
      </w:pPr>
      <w:hyperlink r:id="rId18" w:history="1">
        <w:r w:rsidR="00201040" w:rsidRPr="00E134C4">
          <w:rPr>
            <w:rFonts w:ascii="inherit" w:hAnsi="inherit" w:cs="Helvetica"/>
            <w:color w:val="CC6530"/>
            <w:sz w:val="27"/>
            <w:szCs w:val="27"/>
            <w:bdr w:val="none" w:sz="0" w:space="0" w:color="auto" w:frame="1"/>
          </w:rPr>
          <w:t>Speech, Expression, and Assembly</w:t>
        </w:r>
      </w:hyperlink>
      <w:r w:rsidR="00201040" w:rsidRPr="00E134C4">
        <w:rPr>
          <w:rFonts w:ascii="inherit" w:hAnsi="inherit" w:cs="Helvetica"/>
          <w:color w:val="5A5A5A"/>
          <w:sz w:val="27"/>
          <w:szCs w:val="27"/>
        </w:rPr>
        <w:t> – (Manual of Policies &amp; Procedures for Student Affairs - Chapter 6)</w:t>
      </w:r>
    </w:p>
    <w:p w14:paraId="0F9CA570" w14:textId="77777777" w:rsidR="00201040" w:rsidRPr="00E134C4" w:rsidRDefault="00383F38" w:rsidP="00201040">
      <w:pPr>
        <w:numPr>
          <w:ilvl w:val="0"/>
          <w:numId w:val="3"/>
        </w:numPr>
        <w:shd w:val="clear" w:color="auto" w:fill="FFFFFF"/>
        <w:textAlignment w:val="baseline"/>
        <w:rPr>
          <w:rFonts w:ascii="inherit" w:hAnsi="inherit" w:cs="Helvetica"/>
          <w:color w:val="5A5A5A"/>
          <w:sz w:val="27"/>
          <w:szCs w:val="27"/>
        </w:rPr>
      </w:pPr>
      <w:hyperlink r:id="rId19" w:history="1">
        <w:r w:rsidR="00201040" w:rsidRPr="00E134C4">
          <w:rPr>
            <w:rFonts w:ascii="inherit" w:hAnsi="inherit" w:cs="Helvetica"/>
            <w:color w:val="CC6530"/>
            <w:sz w:val="27"/>
            <w:szCs w:val="27"/>
            <w:bdr w:val="none" w:sz="0" w:space="0" w:color="auto" w:frame="1"/>
          </w:rPr>
          <w:t>Student Right-to-Know and Campus Security Act</w:t>
        </w:r>
      </w:hyperlink>
    </w:p>
    <w:p w14:paraId="07836AEB" w14:textId="77777777" w:rsidR="00201040" w:rsidRPr="00E134C4" w:rsidRDefault="00201040" w:rsidP="00201040">
      <w:pPr>
        <w:spacing w:before="100" w:beforeAutospacing="1" w:after="100" w:afterAutospacing="1"/>
        <w:rPr>
          <w:b/>
        </w:rPr>
      </w:pPr>
      <w:r w:rsidRPr="00E134C4">
        <w:rPr>
          <w:b/>
        </w:rPr>
        <w:t>Disability/Accessibility Services</w:t>
      </w:r>
    </w:p>
    <w:p w14:paraId="57A979CF" w14:textId="77777777" w:rsidR="00201040" w:rsidRPr="00E134C4" w:rsidRDefault="00201040" w:rsidP="00201040">
      <w:pPr>
        <w:autoSpaceDE w:val="0"/>
        <w:autoSpaceDN w:val="0"/>
        <w:adjustRightInd w:val="0"/>
      </w:pPr>
      <w:r w:rsidRPr="00E134C4">
        <w:t>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https://hood.accessiblelearning.com/UTTyler and fill out the New Student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http://www.uttyler.edu/disabilityservices, the SAR office located in the University Center, # 3150 or call 903.566.7079.</w:t>
      </w:r>
    </w:p>
    <w:p w14:paraId="1BB2DC22" w14:textId="77777777" w:rsidR="00201040" w:rsidRPr="00E134C4" w:rsidRDefault="00201040" w:rsidP="00201040">
      <w:pPr>
        <w:autoSpaceDE w:val="0"/>
        <w:autoSpaceDN w:val="0"/>
        <w:adjustRightInd w:val="0"/>
      </w:pPr>
    </w:p>
    <w:p w14:paraId="37B3C757" w14:textId="77777777" w:rsidR="00201040" w:rsidRPr="00E134C4" w:rsidRDefault="00201040" w:rsidP="00201040">
      <w:pPr>
        <w:autoSpaceDE w:val="0"/>
        <w:autoSpaceDN w:val="0"/>
        <w:adjustRightInd w:val="0"/>
        <w:rPr>
          <w:rFonts w:eastAsiaTheme="minorHAnsi"/>
          <w:b/>
        </w:rPr>
      </w:pPr>
      <w:r w:rsidRPr="00E134C4">
        <w:rPr>
          <w:rFonts w:eastAsiaTheme="minorHAnsi"/>
          <w:b/>
        </w:rPr>
        <w:t xml:space="preserve">UT Tyler Resources for Students </w:t>
      </w:r>
    </w:p>
    <w:p w14:paraId="06F316EC" w14:textId="77777777" w:rsidR="00201040" w:rsidRPr="00E134C4" w:rsidRDefault="00201040" w:rsidP="00201040">
      <w:pPr>
        <w:autoSpaceDE w:val="0"/>
        <w:autoSpaceDN w:val="0"/>
        <w:adjustRightInd w:val="0"/>
        <w:rPr>
          <w:rFonts w:eastAsiaTheme="minorHAnsi"/>
          <w:b/>
        </w:rPr>
      </w:pPr>
    </w:p>
    <w:p w14:paraId="36C305B2" w14:textId="77777777" w:rsidR="00201040" w:rsidRPr="00E134C4" w:rsidRDefault="00201040" w:rsidP="00201040">
      <w:pPr>
        <w:autoSpaceDE w:val="0"/>
        <w:autoSpaceDN w:val="0"/>
        <w:adjustRightInd w:val="0"/>
        <w:spacing w:after="27"/>
        <w:rPr>
          <w:rFonts w:eastAsiaTheme="minorHAnsi"/>
        </w:rPr>
      </w:pPr>
      <w:r w:rsidRPr="00E134C4">
        <w:rPr>
          <w:rFonts w:eastAsiaTheme="minorHAnsi"/>
        </w:rPr>
        <w:t xml:space="preserve"> UT Tyler Writing Center (903.565.5995), writingcenter@uttyler.edu </w:t>
      </w:r>
    </w:p>
    <w:p w14:paraId="72BE4CB6" w14:textId="77777777" w:rsidR="00201040" w:rsidRPr="00E134C4" w:rsidRDefault="00201040" w:rsidP="00201040">
      <w:pPr>
        <w:autoSpaceDE w:val="0"/>
        <w:autoSpaceDN w:val="0"/>
        <w:adjustRightInd w:val="0"/>
        <w:spacing w:after="27"/>
        <w:rPr>
          <w:rFonts w:eastAsiaTheme="minorHAnsi"/>
        </w:rPr>
      </w:pPr>
      <w:r w:rsidRPr="00E134C4">
        <w:rPr>
          <w:rFonts w:eastAsiaTheme="minorHAnsi"/>
        </w:rPr>
        <w:t xml:space="preserve"> UT Tyler Tutoring Center (903.565.5964), tutoring@uttyler.edu </w:t>
      </w:r>
    </w:p>
    <w:p w14:paraId="0991D429" w14:textId="77777777" w:rsidR="00201040" w:rsidRPr="00E134C4" w:rsidRDefault="00201040" w:rsidP="00201040">
      <w:pPr>
        <w:autoSpaceDE w:val="0"/>
        <w:autoSpaceDN w:val="0"/>
        <w:adjustRightInd w:val="0"/>
        <w:spacing w:after="27"/>
        <w:rPr>
          <w:rFonts w:eastAsiaTheme="minorHAnsi"/>
        </w:rPr>
      </w:pPr>
      <w:r w:rsidRPr="00E134C4">
        <w:rPr>
          <w:rFonts w:eastAsiaTheme="minorHAnsi"/>
        </w:rPr>
        <w:t xml:space="preserve"> The Mathematics Learning Center, RBN 4021, this is the open access computer lab for math students, with tutors on duty to assist students who are enrolled in early-career courses. </w:t>
      </w:r>
    </w:p>
    <w:p w14:paraId="3A84EE0E" w14:textId="3A040722" w:rsidR="00D92E12" w:rsidRDefault="00201040" w:rsidP="00201040">
      <w:pPr>
        <w:autoSpaceDE w:val="0"/>
        <w:autoSpaceDN w:val="0"/>
        <w:adjustRightInd w:val="0"/>
        <w:rPr>
          <w:rFonts w:eastAsiaTheme="minorHAnsi"/>
        </w:rPr>
      </w:pPr>
      <w:r w:rsidRPr="00E134C4">
        <w:rPr>
          <w:rFonts w:eastAsiaTheme="minorHAnsi"/>
        </w:rPr>
        <w:t> UT Tyler C</w:t>
      </w:r>
      <w:r w:rsidR="00D92E12">
        <w:rPr>
          <w:rFonts w:eastAsiaTheme="minorHAnsi"/>
        </w:rPr>
        <w:t>ounseling Center (903.566.7254)</w:t>
      </w:r>
    </w:p>
    <w:p w14:paraId="47926AC2" w14:textId="29F38C76" w:rsidR="00755320" w:rsidRDefault="00755320" w:rsidP="00201040">
      <w:pPr>
        <w:autoSpaceDE w:val="0"/>
        <w:autoSpaceDN w:val="0"/>
        <w:adjustRightInd w:val="0"/>
        <w:rPr>
          <w:rFonts w:eastAsiaTheme="minorHAnsi"/>
        </w:rPr>
      </w:pPr>
    </w:p>
    <w:p w14:paraId="7F604BFA" w14:textId="4455B9B3" w:rsidR="00755320" w:rsidRDefault="00755320" w:rsidP="00201040">
      <w:pPr>
        <w:autoSpaceDE w:val="0"/>
        <w:autoSpaceDN w:val="0"/>
        <w:adjustRightInd w:val="0"/>
        <w:rPr>
          <w:rFonts w:eastAsiaTheme="minorHAnsi"/>
        </w:rPr>
      </w:pPr>
    </w:p>
    <w:p w14:paraId="27C1DD73" w14:textId="77777777" w:rsidR="00755320" w:rsidRDefault="00755320" w:rsidP="00201040">
      <w:pPr>
        <w:autoSpaceDE w:val="0"/>
        <w:autoSpaceDN w:val="0"/>
        <w:adjustRightInd w:val="0"/>
        <w:rPr>
          <w:rFonts w:eastAsiaTheme="minorHAnsi"/>
        </w:rPr>
      </w:pPr>
    </w:p>
    <w:p w14:paraId="18AD5BAA" w14:textId="77777777" w:rsidR="00201040" w:rsidRPr="00D92E12" w:rsidRDefault="00201040" w:rsidP="00201040">
      <w:pPr>
        <w:autoSpaceDE w:val="0"/>
        <w:autoSpaceDN w:val="0"/>
        <w:adjustRightInd w:val="0"/>
        <w:rPr>
          <w:rFonts w:eastAsiaTheme="minorHAnsi"/>
        </w:rPr>
      </w:pPr>
      <w:r w:rsidRPr="00E134C4">
        <w:rPr>
          <w:b/>
        </w:rPr>
        <w:lastRenderedPageBreak/>
        <w:t>Syllabus Revisions</w:t>
      </w:r>
    </w:p>
    <w:p w14:paraId="4DA254A9" w14:textId="77777777" w:rsidR="00201040" w:rsidRPr="00E134C4" w:rsidRDefault="00201040" w:rsidP="00201040">
      <w:pPr>
        <w:autoSpaceDE w:val="0"/>
        <w:autoSpaceDN w:val="0"/>
        <w:adjustRightInd w:val="0"/>
      </w:pPr>
    </w:p>
    <w:p w14:paraId="6796B14E" w14:textId="77777777" w:rsidR="00157051" w:rsidRPr="005066CB" w:rsidRDefault="00201040" w:rsidP="005066CB">
      <w:pPr>
        <w:autoSpaceDE w:val="0"/>
        <w:autoSpaceDN w:val="0"/>
        <w:adjustRightInd w:val="0"/>
      </w:pPr>
      <w:r w:rsidRPr="00E134C4">
        <w:t>The standards and requirements set forth in this syllabus may be modified at any time by the course instructor. Notice of such changes will be by announcement via Canvas with adequate time for students to make the necessary coursework adjustments.</w:t>
      </w:r>
    </w:p>
    <w:p w14:paraId="1B1CFC58" w14:textId="77777777" w:rsidR="00157051" w:rsidRDefault="00157051" w:rsidP="0012315D">
      <w:pPr>
        <w:spacing w:line="360" w:lineRule="auto"/>
        <w:rPr>
          <w:b/>
        </w:rPr>
      </w:pPr>
    </w:p>
    <w:p w14:paraId="42096AE0" w14:textId="77777777" w:rsidR="00171AA6" w:rsidRPr="00171AA6" w:rsidRDefault="00440221" w:rsidP="0012315D">
      <w:pPr>
        <w:spacing w:line="360" w:lineRule="auto"/>
        <w:jc w:val="center"/>
        <w:rPr>
          <w:b/>
        </w:rPr>
      </w:pPr>
      <w:r>
        <w:rPr>
          <w:b/>
        </w:rPr>
        <w:t xml:space="preserve">Tentative Fin </w:t>
      </w:r>
      <w:r w:rsidR="00F64F41">
        <w:rPr>
          <w:b/>
        </w:rPr>
        <w:t>4355/5355</w:t>
      </w:r>
      <w:r w:rsidR="00171AA6" w:rsidRPr="00171AA6">
        <w:rPr>
          <w:b/>
        </w:rPr>
        <w:t xml:space="preserve"> Course Calendar</w:t>
      </w:r>
    </w:p>
    <w:p w14:paraId="7E55E1F9" w14:textId="6FF3ABA5" w:rsidR="006C43A2" w:rsidRDefault="00755320" w:rsidP="00E97D69">
      <w:pPr>
        <w:spacing w:line="360" w:lineRule="auto"/>
        <w:jc w:val="center"/>
        <w:rPr>
          <w:b/>
        </w:rPr>
      </w:pPr>
      <w:r>
        <w:rPr>
          <w:b/>
        </w:rPr>
        <w:t>Spring 2020</w:t>
      </w:r>
    </w:p>
    <w:p w14:paraId="3FCAFC0D" w14:textId="77777777" w:rsidR="00D900B6" w:rsidRDefault="00370D42" w:rsidP="000261F8">
      <w:pPr>
        <w:spacing w:line="360" w:lineRule="auto"/>
      </w:pPr>
      <w:r w:rsidRPr="00370D42">
        <w:t xml:space="preserve">Note: </w:t>
      </w:r>
      <w:r w:rsidR="00F64F41">
        <w:t>SS</w:t>
      </w:r>
      <w:r w:rsidRPr="00370D42">
        <w:t xml:space="preserve"> refer</w:t>
      </w:r>
      <w:r w:rsidR="002429EE">
        <w:t xml:space="preserve">s to the </w:t>
      </w:r>
      <w:r w:rsidR="00F12A02">
        <w:t xml:space="preserve">required course textbook by </w:t>
      </w:r>
      <w:r w:rsidR="00F64F41">
        <w:t>Betty and Russell Simkins</w:t>
      </w:r>
      <w:r w:rsidR="00B35167">
        <w:t>.</w:t>
      </w:r>
    </w:p>
    <w:p w14:paraId="69345C75" w14:textId="77777777" w:rsidR="004D47D8" w:rsidRDefault="004D47D8" w:rsidP="000261F8">
      <w:pPr>
        <w:spacing w:line="360" w:lineRule="auto"/>
      </w:pPr>
    </w:p>
    <w:p w14:paraId="18CBD743" w14:textId="35A0D4A9" w:rsidR="004D47D8" w:rsidRPr="000261F8" w:rsidRDefault="00755320" w:rsidP="00A21480">
      <w:pPr>
        <w:spacing w:line="360" w:lineRule="auto"/>
        <w:jc w:val="center"/>
        <w:rPr>
          <w:b/>
        </w:rPr>
      </w:pPr>
      <w:r w:rsidRPr="00755320">
        <w:rPr>
          <w:noProof/>
        </w:rPr>
        <w:drawing>
          <wp:inline distT="0" distB="0" distL="0" distR="0" wp14:anchorId="60A3CBFB" wp14:editId="19725134">
            <wp:extent cx="5835001" cy="3790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37321" cy="3792457"/>
                    </a:xfrm>
                    <a:prstGeom prst="rect">
                      <a:avLst/>
                    </a:prstGeom>
                    <a:noFill/>
                    <a:ln>
                      <a:noFill/>
                    </a:ln>
                  </pic:spPr>
                </pic:pic>
              </a:graphicData>
            </a:graphic>
          </wp:inline>
        </w:drawing>
      </w:r>
    </w:p>
    <w:sectPr w:rsidR="004D47D8" w:rsidRPr="000261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D3BD9"/>
    <w:multiLevelType w:val="hybridMultilevel"/>
    <w:tmpl w:val="8B885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13027E0"/>
    <w:multiLevelType w:val="multilevel"/>
    <w:tmpl w:val="072A14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CB75E5"/>
    <w:multiLevelType w:val="hybridMultilevel"/>
    <w:tmpl w:val="43F80E1E"/>
    <w:lvl w:ilvl="0" w:tplc="0409000D">
      <w:start w:val="1"/>
      <w:numFmt w:val="bullet"/>
      <w:lvlText w:val=""/>
      <w:lvlJc w:val="left"/>
      <w:pPr>
        <w:tabs>
          <w:tab w:val="num" w:pos="1260"/>
        </w:tabs>
        <w:ind w:left="12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25A"/>
    <w:rsid w:val="00012B2C"/>
    <w:rsid w:val="000261F8"/>
    <w:rsid w:val="000306E8"/>
    <w:rsid w:val="0003257F"/>
    <w:rsid w:val="000432E5"/>
    <w:rsid w:val="000541C4"/>
    <w:rsid w:val="00067D10"/>
    <w:rsid w:val="00080023"/>
    <w:rsid w:val="00081244"/>
    <w:rsid w:val="00082109"/>
    <w:rsid w:val="000A20A3"/>
    <w:rsid w:val="000A21BB"/>
    <w:rsid w:val="000B25C3"/>
    <w:rsid w:val="000C2320"/>
    <w:rsid w:val="000C5682"/>
    <w:rsid w:val="000C6CC0"/>
    <w:rsid w:val="000D110E"/>
    <w:rsid w:val="000D3393"/>
    <w:rsid w:val="000D3CC3"/>
    <w:rsid w:val="00117240"/>
    <w:rsid w:val="00117AA7"/>
    <w:rsid w:val="001224DB"/>
    <w:rsid w:val="0012315D"/>
    <w:rsid w:val="00124AA6"/>
    <w:rsid w:val="00127904"/>
    <w:rsid w:val="00132E2A"/>
    <w:rsid w:val="00151B68"/>
    <w:rsid w:val="00151C30"/>
    <w:rsid w:val="00155559"/>
    <w:rsid w:val="00157051"/>
    <w:rsid w:val="00165827"/>
    <w:rsid w:val="00165F7E"/>
    <w:rsid w:val="00167F17"/>
    <w:rsid w:val="0017166F"/>
    <w:rsid w:val="00171AA6"/>
    <w:rsid w:val="00171E6D"/>
    <w:rsid w:val="00172CD6"/>
    <w:rsid w:val="00177C63"/>
    <w:rsid w:val="00181545"/>
    <w:rsid w:val="00186A0C"/>
    <w:rsid w:val="001A1B79"/>
    <w:rsid w:val="001A2A70"/>
    <w:rsid w:val="001A7F5F"/>
    <w:rsid w:val="001B7D91"/>
    <w:rsid w:val="001C3A52"/>
    <w:rsid w:val="001C4334"/>
    <w:rsid w:val="001C5E55"/>
    <w:rsid w:val="001D185A"/>
    <w:rsid w:val="001E0332"/>
    <w:rsid w:val="001E4467"/>
    <w:rsid w:val="001E7FAC"/>
    <w:rsid w:val="00201040"/>
    <w:rsid w:val="00213FCC"/>
    <w:rsid w:val="00217020"/>
    <w:rsid w:val="002216E5"/>
    <w:rsid w:val="002256F4"/>
    <w:rsid w:val="002272B8"/>
    <w:rsid w:val="00234532"/>
    <w:rsid w:val="002429EE"/>
    <w:rsid w:val="00245F33"/>
    <w:rsid w:val="00247D1A"/>
    <w:rsid w:val="0026152D"/>
    <w:rsid w:val="00263456"/>
    <w:rsid w:val="00271644"/>
    <w:rsid w:val="00275C12"/>
    <w:rsid w:val="00284D56"/>
    <w:rsid w:val="002910C4"/>
    <w:rsid w:val="00295E5D"/>
    <w:rsid w:val="0029777F"/>
    <w:rsid w:val="002A3EB3"/>
    <w:rsid w:val="002A59BE"/>
    <w:rsid w:val="002B406A"/>
    <w:rsid w:val="002B5DE3"/>
    <w:rsid w:val="002B7B8B"/>
    <w:rsid w:val="002D2851"/>
    <w:rsid w:val="002D60AC"/>
    <w:rsid w:val="002E23F9"/>
    <w:rsid w:val="002E2714"/>
    <w:rsid w:val="002E315A"/>
    <w:rsid w:val="002E3FD4"/>
    <w:rsid w:val="002E7DFD"/>
    <w:rsid w:val="002F4B53"/>
    <w:rsid w:val="00301D8C"/>
    <w:rsid w:val="00310BCF"/>
    <w:rsid w:val="00347785"/>
    <w:rsid w:val="00350314"/>
    <w:rsid w:val="00355455"/>
    <w:rsid w:val="003629B6"/>
    <w:rsid w:val="00370D42"/>
    <w:rsid w:val="00371BC8"/>
    <w:rsid w:val="0037297F"/>
    <w:rsid w:val="00377845"/>
    <w:rsid w:val="00383F38"/>
    <w:rsid w:val="00386A5E"/>
    <w:rsid w:val="003B1D16"/>
    <w:rsid w:val="003B1EE2"/>
    <w:rsid w:val="003B4517"/>
    <w:rsid w:val="003B58DD"/>
    <w:rsid w:val="003B6D1A"/>
    <w:rsid w:val="003C440E"/>
    <w:rsid w:val="003C51A8"/>
    <w:rsid w:val="003D157C"/>
    <w:rsid w:val="003E7E1E"/>
    <w:rsid w:val="003E7FB7"/>
    <w:rsid w:val="003F5E61"/>
    <w:rsid w:val="004011C7"/>
    <w:rsid w:val="004026F6"/>
    <w:rsid w:val="00412734"/>
    <w:rsid w:val="00412800"/>
    <w:rsid w:val="00413753"/>
    <w:rsid w:val="00425519"/>
    <w:rsid w:val="00430B90"/>
    <w:rsid w:val="00434ED9"/>
    <w:rsid w:val="0043565C"/>
    <w:rsid w:val="004370B9"/>
    <w:rsid w:val="00440221"/>
    <w:rsid w:val="00444DA7"/>
    <w:rsid w:val="00447B6A"/>
    <w:rsid w:val="004626D5"/>
    <w:rsid w:val="00463B79"/>
    <w:rsid w:val="00473F24"/>
    <w:rsid w:val="00476020"/>
    <w:rsid w:val="00476768"/>
    <w:rsid w:val="00482AB3"/>
    <w:rsid w:val="00482F84"/>
    <w:rsid w:val="004848B3"/>
    <w:rsid w:val="004A0EC0"/>
    <w:rsid w:val="004B025A"/>
    <w:rsid w:val="004B7289"/>
    <w:rsid w:val="004B7483"/>
    <w:rsid w:val="004C3EEB"/>
    <w:rsid w:val="004D47D8"/>
    <w:rsid w:val="004D5008"/>
    <w:rsid w:val="004D5CD1"/>
    <w:rsid w:val="004D7834"/>
    <w:rsid w:val="004E057A"/>
    <w:rsid w:val="004F0115"/>
    <w:rsid w:val="004F18EF"/>
    <w:rsid w:val="004F6ED3"/>
    <w:rsid w:val="004F7A92"/>
    <w:rsid w:val="00501425"/>
    <w:rsid w:val="00505575"/>
    <w:rsid w:val="005066CB"/>
    <w:rsid w:val="00547D6B"/>
    <w:rsid w:val="00554AEF"/>
    <w:rsid w:val="0056496D"/>
    <w:rsid w:val="00566B7E"/>
    <w:rsid w:val="005706F2"/>
    <w:rsid w:val="0057082D"/>
    <w:rsid w:val="0057761C"/>
    <w:rsid w:val="00587E9A"/>
    <w:rsid w:val="00595F2D"/>
    <w:rsid w:val="005A0789"/>
    <w:rsid w:val="005A2A02"/>
    <w:rsid w:val="005B52B9"/>
    <w:rsid w:val="005D2E6F"/>
    <w:rsid w:val="005D7935"/>
    <w:rsid w:val="005E38DD"/>
    <w:rsid w:val="005E3B5C"/>
    <w:rsid w:val="005E7E83"/>
    <w:rsid w:val="005F30F2"/>
    <w:rsid w:val="005F413D"/>
    <w:rsid w:val="005F5D09"/>
    <w:rsid w:val="006005F6"/>
    <w:rsid w:val="00606668"/>
    <w:rsid w:val="00617A69"/>
    <w:rsid w:val="0062642C"/>
    <w:rsid w:val="00630A44"/>
    <w:rsid w:val="00632E52"/>
    <w:rsid w:val="0063712C"/>
    <w:rsid w:val="00643FE5"/>
    <w:rsid w:val="00653BA5"/>
    <w:rsid w:val="00654359"/>
    <w:rsid w:val="00660F5D"/>
    <w:rsid w:val="006616EB"/>
    <w:rsid w:val="00665EED"/>
    <w:rsid w:val="00666A8B"/>
    <w:rsid w:val="00681347"/>
    <w:rsid w:val="0069463E"/>
    <w:rsid w:val="00696C44"/>
    <w:rsid w:val="006A0A02"/>
    <w:rsid w:val="006A6BF3"/>
    <w:rsid w:val="006B2982"/>
    <w:rsid w:val="006B3021"/>
    <w:rsid w:val="006B4784"/>
    <w:rsid w:val="006C181D"/>
    <w:rsid w:val="006C43A2"/>
    <w:rsid w:val="006C4870"/>
    <w:rsid w:val="006D042E"/>
    <w:rsid w:val="006D4445"/>
    <w:rsid w:val="006D788A"/>
    <w:rsid w:val="006E21C1"/>
    <w:rsid w:val="006F2C55"/>
    <w:rsid w:val="006F7AB5"/>
    <w:rsid w:val="006F7BCC"/>
    <w:rsid w:val="007008B4"/>
    <w:rsid w:val="00700D4C"/>
    <w:rsid w:val="00701A7A"/>
    <w:rsid w:val="00705CD0"/>
    <w:rsid w:val="00706D23"/>
    <w:rsid w:val="00707F13"/>
    <w:rsid w:val="00726055"/>
    <w:rsid w:val="00743918"/>
    <w:rsid w:val="0075095C"/>
    <w:rsid w:val="00751AED"/>
    <w:rsid w:val="00754793"/>
    <w:rsid w:val="00755320"/>
    <w:rsid w:val="00762678"/>
    <w:rsid w:val="00764916"/>
    <w:rsid w:val="00766EC7"/>
    <w:rsid w:val="00773494"/>
    <w:rsid w:val="007769A6"/>
    <w:rsid w:val="00781338"/>
    <w:rsid w:val="007836C2"/>
    <w:rsid w:val="007C2932"/>
    <w:rsid w:val="007D4AE3"/>
    <w:rsid w:val="007D6CBB"/>
    <w:rsid w:val="007E463F"/>
    <w:rsid w:val="007E6C3C"/>
    <w:rsid w:val="007F0743"/>
    <w:rsid w:val="0080673A"/>
    <w:rsid w:val="00813EB0"/>
    <w:rsid w:val="00816ECB"/>
    <w:rsid w:val="00822449"/>
    <w:rsid w:val="008526BB"/>
    <w:rsid w:val="00861544"/>
    <w:rsid w:val="008666E5"/>
    <w:rsid w:val="00866C8E"/>
    <w:rsid w:val="00870D58"/>
    <w:rsid w:val="00876B79"/>
    <w:rsid w:val="00881577"/>
    <w:rsid w:val="00882734"/>
    <w:rsid w:val="00886145"/>
    <w:rsid w:val="0089179F"/>
    <w:rsid w:val="008A3D41"/>
    <w:rsid w:val="008A744C"/>
    <w:rsid w:val="008B6B49"/>
    <w:rsid w:val="008C183B"/>
    <w:rsid w:val="008C5B41"/>
    <w:rsid w:val="008D0DD3"/>
    <w:rsid w:val="008D1F58"/>
    <w:rsid w:val="008D5A03"/>
    <w:rsid w:val="008D7A1F"/>
    <w:rsid w:val="008E1D20"/>
    <w:rsid w:val="008F322B"/>
    <w:rsid w:val="008F585E"/>
    <w:rsid w:val="009017F8"/>
    <w:rsid w:val="00902DA1"/>
    <w:rsid w:val="0090617B"/>
    <w:rsid w:val="0090767B"/>
    <w:rsid w:val="00907D65"/>
    <w:rsid w:val="009108F8"/>
    <w:rsid w:val="00915B90"/>
    <w:rsid w:val="00922CBC"/>
    <w:rsid w:val="00930E5B"/>
    <w:rsid w:val="0094301C"/>
    <w:rsid w:val="00944ACE"/>
    <w:rsid w:val="00945483"/>
    <w:rsid w:val="009468A6"/>
    <w:rsid w:val="009556CE"/>
    <w:rsid w:val="00960223"/>
    <w:rsid w:val="009617E2"/>
    <w:rsid w:val="0097140E"/>
    <w:rsid w:val="0098107D"/>
    <w:rsid w:val="00986264"/>
    <w:rsid w:val="009877E7"/>
    <w:rsid w:val="00987FDF"/>
    <w:rsid w:val="009900B9"/>
    <w:rsid w:val="00991506"/>
    <w:rsid w:val="009953B2"/>
    <w:rsid w:val="00996A89"/>
    <w:rsid w:val="009A5C32"/>
    <w:rsid w:val="009B48A4"/>
    <w:rsid w:val="009C04C3"/>
    <w:rsid w:val="009C775B"/>
    <w:rsid w:val="009E7BF1"/>
    <w:rsid w:val="00A111F4"/>
    <w:rsid w:val="00A134C0"/>
    <w:rsid w:val="00A203C0"/>
    <w:rsid w:val="00A21480"/>
    <w:rsid w:val="00A252B8"/>
    <w:rsid w:val="00A305E8"/>
    <w:rsid w:val="00A3127F"/>
    <w:rsid w:val="00A45057"/>
    <w:rsid w:val="00A47EA9"/>
    <w:rsid w:val="00A5088E"/>
    <w:rsid w:val="00A53171"/>
    <w:rsid w:val="00A53451"/>
    <w:rsid w:val="00A7268F"/>
    <w:rsid w:val="00A76761"/>
    <w:rsid w:val="00A82333"/>
    <w:rsid w:val="00A8437E"/>
    <w:rsid w:val="00A8788F"/>
    <w:rsid w:val="00A90EB3"/>
    <w:rsid w:val="00A952E7"/>
    <w:rsid w:val="00A97A15"/>
    <w:rsid w:val="00AA206A"/>
    <w:rsid w:val="00AA5B6E"/>
    <w:rsid w:val="00AA63F8"/>
    <w:rsid w:val="00AA67C2"/>
    <w:rsid w:val="00AC17F7"/>
    <w:rsid w:val="00AC387A"/>
    <w:rsid w:val="00AD37A0"/>
    <w:rsid w:val="00AD413E"/>
    <w:rsid w:val="00AD45A1"/>
    <w:rsid w:val="00AE2413"/>
    <w:rsid w:val="00AE57EE"/>
    <w:rsid w:val="00AE66CF"/>
    <w:rsid w:val="00AE7B56"/>
    <w:rsid w:val="00AF4B91"/>
    <w:rsid w:val="00AF51A4"/>
    <w:rsid w:val="00B0472F"/>
    <w:rsid w:val="00B06997"/>
    <w:rsid w:val="00B069EE"/>
    <w:rsid w:val="00B12817"/>
    <w:rsid w:val="00B13419"/>
    <w:rsid w:val="00B22ECE"/>
    <w:rsid w:val="00B2759D"/>
    <w:rsid w:val="00B3028C"/>
    <w:rsid w:val="00B31D37"/>
    <w:rsid w:val="00B32FA2"/>
    <w:rsid w:val="00B332FF"/>
    <w:rsid w:val="00B35167"/>
    <w:rsid w:val="00B35FE0"/>
    <w:rsid w:val="00B478BA"/>
    <w:rsid w:val="00B501B9"/>
    <w:rsid w:val="00B559B7"/>
    <w:rsid w:val="00B6009F"/>
    <w:rsid w:val="00B8143B"/>
    <w:rsid w:val="00B85FB2"/>
    <w:rsid w:val="00BA18BA"/>
    <w:rsid w:val="00BA366A"/>
    <w:rsid w:val="00BB67A4"/>
    <w:rsid w:val="00BC330E"/>
    <w:rsid w:val="00BE7A61"/>
    <w:rsid w:val="00BF02A9"/>
    <w:rsid w:val="00BF26D3"/>
    <w:rsid w:val="00BF3A3E"/>
    <w:rsid w:val="00C00F50"/>
    <w:rsid w:val="00C01DFD"/>
    <w:rsid w:val="00C028E5"/>
    <w:rsid w:val="00C02B33"/>
    <w:rsid w:val="00C04859"/>
    <w:rsid w:val="00C04F07"/>
    <w:rsid w:val="00C0578A"/>
    <w:rsid w:val="00C075D5"/>
    <w:rsid w:val="00C14225"/>
    <w:rsid w:val="00C268EA"/>
    <w:rsid w:val="00C33AE7"/>
    <w:rsid w:val="00C34B69"/>
    <w:rsid w:val="00C61297"/>
    <w:rsid w:val="00C644F7"/>
    <w:rsid w:val="00C706B5"/>
    <w:rsid w:val="00C70C2E"/>
    <w:rsid w:val="00C72B14"/>
    <w:rsid w:val="00C7407F"/>
    <w:rsid w:val="00C97FD3"/>
    <w:rsid w:val="00CA67D0"/>
    <w:rsid w:val="00CB625A"/>
    <w:rsid w:val="00CD6D70"/>
    <w:rsid w:val="00CE0ABC"/>
    <w:rsid w:val="00CE2853"/>
    <w:rsid w:val="00CE4B8A"/>
    <w:rsid w:val="00CF021E"/>
    <w:rsid w:val="00CF3739"/>
    <w:rsid w:val="00D0507B"/>
    <w:rsid w:val="00D101B4"/>
    <w:rsid w:val="00D20AD2"/>
    <w:rsid w:val="00D2719B"/>
    <w:rsid w:val="00D3142A"/>
    <w:rsid w:val="00D35167"/>
    <w:rsid w:val="00D408BB"/>
    <w:rsid w:val="00D42790"/>
    <w:rsid w:val="00D42F26"/>
    <w:rsid w:val="00D47976"/>
    <w:rsid w:val="00D54E13"/>
    <w:rsid w:val="00D623E2"/>
    <w:rsid w:val="00D63C81"/>
    <w:rsid w:val="00D67345"/>
    <w:rsid w:val="00D67741"/>
    <w:rsid w:val="00D67D24"/>
    <w:rsid w:val="00D67E18"/>
    <w:rsid w:val="00D900B6"/>
    <w:rsid w:val="00D9249D"/>
    <w:rsid w:val="00D92E12"/>
    <w:rsid w:val="00DA5803"/>
    <w:rsid w:val="00DC2850"/>
    <w:rsid w:val="00DD16DA"/>
    <w:rsid w:val="00DD3D5F"/>
    <w:rsid w:val="00DD6A17"/>
    <w:rsid w:val="00DE27DA"/>
    <w:rsid w:val="00DE7B5F"/>
    <w:rsid w:val="00DF22D7"/>
    <w:rsid w:val="00DF4131"/>
    <w:rsid w:val="00DF7192"/>
    <w:rsid w:val="00E106F1"/>
    <w:rsid w:val="00E10AA2"/>
    <w:rsid w:val="00E11B77"/>
    <w:rsid w:val="00E21030"/>
    <w:rsid w:val="00E228AB"/>
    <w:rsid w:val="00E2530B"/>
    <w:rsid w:val="00E25611"/>
    <w:rsid w:val="00E323F8"/>
    <w:rsid w:val="00E41AB5"/>
    <w:rsid w:val="00E46C6C"/>
    <w:rsid w:val="00E471DE"/>
    <w:rsid w:val="00E5725F"/>
    <w:rsid w:val="00E5779C"/>
    <w:rsid w:val="00E67C7E"/>
    <w:rsid w:val="00E70860"/>
    <w:rsid w:val="00E72676"/>
    <w:rsid w:val="00E75C77"/>
    <w:rsid w:val="00E853CF"/>
    <w:rsid w:val="00E87D0E"/>
    <w:rsid w:val="00E90D5D"/>
    <w:rsid w:val="00E91373"/>
    <w:rsid w:val="00E97D69"/>
    <w:rsid w:val="00EA5704"/>
    <w:rsid w:val="00EA6B2C"/>
    <w:rsid w:val="00EB5AAC"/>
    <w:rsid w:val="00EC1BB4"/>
    <w:rsid w:val="00ED09DF"/>
    <w:rsid w:val="00ED11C7"/>
    <w:rsid w:val="00ED5E9D"/>
    <w:rsid w:val="00ED7A83"/>
    <w:rsid w:val="00EF2F44"/>
    <w:rsid w:val="00F006E0"/>
    <w:rsid w:val="00F00A11"/>
    <w:rsid w:val="00F0246F"/>
    <w:rsid w:val="00F051DC"/>
    <w:rsid w:val="00F109B0"/>
    <w:rsid w:val="00F1236B"/>
    <w:rsid w:val="00F12A02"/>
    <w:rsid w:val="00F20F71"/>
    <w:rsid w:val="00F21BFF"/>
    <w:rsid w:val="00F41DC0"/>
    <w:rsid w:val="00F43DA4"/>
    <w:rsid w:val="00F45F1B"/>
    <w:rsid w:val="00F60D71"/>
    <w:rsid w:val="00F63D12"/>
    <w:rsid w:val="00F64F41"/>
    <w:rsid w:val="00F64FA4"/>
    <w:rsid w:val="00F6695D"/>
    <w:rsid w:val="00F66EB3"/>
    <w:rsid w:val="00F70302"/>
    <w:rsid w:val="00F75616"/>
    <w:rsid w:val="00F8498B"/>
    <w:rsid w:val="00F9411C"/>
    <w:rsid w:val="00FB46B8"/>
    <w:rsid w:val="00FE0B01"/>
    <w:rsid w:val="00FE518F"/>
    <w:rsid w:val="00FF1D44"/>
    <w:rsid w:val="00FF2BC6"/>
    <w:rsid w:val="00FF5844"/>
    <w:rsid w:val="00FF5FD4"/>
    <w:rsid w:val="00FF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4410D"/>
  <w15:docId w15:val="{487AC833-781B-4DA3-91D3-B0ED8EA5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2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025A"/>
    <w:rPr>
      <w:color w:val="0000FF"/>
      <w:u w:val="single"/>
    </w:rPr>
  </w:style>
  <w:style w:type="paragraph" w:customStyle="1" w:styleId="xmsolistparagraph">
    <w:name w:val="x_msolistparagraph"/>
    <w:basedOn w:val="Normal"/>
    <w:rsid w:val="00945483"/>
    <w:pPr>
      <w:spacing w:before="100" w:beforeAutospacing="1" w:after="100" w:afterAutospacing="1"/>
    </w:pPr>
  </w:style>
  <w:style w:type="paragraph" w:styleId="BalloonText">
    <w:name w:val="Balloon Text"/>
    <w:basedOn w:val="Normal"/>
    <w:link w:val="BalloonTextChar"/>
    <w:rsid w:val="003B1D16"/>
    <w:rPr>
      <w:rFonts w:ascii="Tahoma" w:hAnsi="Tahoma" w:cs="Tahoma"/>
      <w:sz w:val="16"/>
      <w:szCs w:val="16"/>
    </w:rPr>
  </w:style>
  <w:style w:type="character" w:customStyle="1" w:styleId="BalloonTextChar">
    <w:name w:val="Balloon Text Char"/>
    <w:basedOn w:val="DefaultParagraphFont"/>
    <w:link w:val="BalloonText"/>
    <w:rsid w:val="003B1D16"/>
    <w:rPr>
      <w:rFonts w:ascii="Tahoma" w:hAnsi="Tahoma" w:cs="Tahoma"/>
      <w:sz w:val="16"/>
      <w:szCs w:val="16"/>
    </w:rPr>
  </w:style>
  <w:style w:type="paragraph" w:customStyle="1" w:styleId="Default">
    <w:name w:val="Default"/>
    <w:rsid w:val="006F7BCC"/>
    <w:pPr>
      <w:autoSpaceDE w:val="0"/>
      <w:autoSpaceDN w:val="0"/>
      <w:adjustRightInd w:val="0"/>
    </w:pPr>
    <w:rPr>
      <w:rFonts w:ascii="Arial" w:hAnsi="Arial" w:cs="Arial"/>
      <w:color w:val="000000"/>
      <w:sz w:val="24"/>
      <w:szCs w:val="24"/>
    </w:rPr>
  </w:style>
  <w:style w:type="table" w:styleId="TableGrid">
    <w:name w:val="Table Grid"/>
    <w:basedOn w:val="TableNormal"/>
    <w:rsid w:val="00171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389061">
      <w:bodyDiv w:val="1"/>
      <w:marLeft w:val="0"/>
      <w:marRight w:val="0"/>
      <w:marTop w:val="0"/>
      <w:marBottom w:val="0"/>
      <w:divBdr>
        <w:top w:val="none" w:sz="0" w:space="0" w:color="auto"/>
        <w:left w:val="none" w:sz="0" w:space="0" w:color="auto"/>
        <w:bottom w:val="none" w:sz="0" w:space="0" w:color="auto"/>
        <w:right w:val="none" w:sz="0" w:space="0" w:color="auto"/>
      </w:divBdr>
    </w:div>
    <w:div w:id="196302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tyler.edu/registrar/policies/academicgrievance.php" TargetMode="External"/><Relationship Id="rId13" Type="http://schemas.openxmlformats.org/officeDocument/2006/relationships/hyperlink" Target="http://www.utsystem.edu/bor/rules/50000Series/50101.pdf" TargetMode="External"/><Relationship Id="rId18" Type="http://schemas.openxmlformats.org/officeDocument/2006/relationships/hyperlink" Target="http://www.uttyler.edu/mop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ttyler.edu/judicialaffairs/scholasticdishonesty.php" TargetMode="External"/><Relationship Id="rId12" Type="http://schemas.openxmlformats.org/officeDocument/2006/relationships/hyperlink" Target="http://www.uttyler.edu/judicialaffairs/" TargetMode="External"/><Relationship Id="rId17" Type="http://schemas.openxmlformats.org/officeDocument/2006/relationships/hyperlink" Target="http://uttyler.smartcatalogiq.com/en/UTTyler/HOP/Series-200-General-Policies-and-Procedures/2-4-1-Nondiscrimination-Policy-and-Complaint-Procedure" TargetMode="External"/><Relationship Id="rId2" Type="http://schemas.openxmlformats.org/officeDocument/2006/relationships/styles" Target="styles.xml"/><Relationship Id="rId16" Type="http://schemas.openxmlformats.org/officeDocument/2006/relationships/hyperlink" Target="http://www.uttyler.edu/mopp/documents/8Student%20Conduct%20and%20Discipline.pdf" TargetMode="External"/><Relationship Id="rId20"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hyperlink" Target="http://www.uttyler.edu/wellness/rightsresponsibilities.php" TargetMode="External"/><Relationship Id="rId11" Type="http://schemas.openxmlformats.org/officeDocument/2006/relationships/hyperlink" Target="http://www.uttylerpatriots.com/athletics/compliance/" TargetMode="External"/><Relationship Id="rId5" Type="http://schemas.openxmlformats.org/officeDocument/2006/relationships/hyperlink" Target="mailto:cwu@uttyler.edu" TargetMode="External"/><Relationship Id="rId15" Type="http://schemas.openxmlformats.org/officeDocument/2006/relationships/hyperlink" Target="http://www.uttyler.edu/registrar/ferpa/index.php" TargetMode="External"/><Relationship Id="rId10" Type="http://schemas.openxmlformats.org/officeDocument/2006/relationships/hyperlink" Target="http://www.uttyler.edu/wellness/files/permission-to-serve-alcohol.pdf" TargetMode="External"/><Relationship Id="rId19" Type="http://schemas.openxmlformats.org/officeDocument/2006/relationships/hyperlink" Target="http://www.uttyler.edu/police/forms/annual-security-report.pdf" TargetMode="External"/><Relationship Id="rId4" Type="http://schemas.openxmlformats.org/officeDocument/2006/relationships/webSettings" Target="webSettings.xml"/><Relationship Id="rId9" Type="http://schemas.openxmlformats.org/officeDocument/2006/relationships/hyperlink" Target="http://www.uttyler.edu/wellness/alcoholpolicies.php" TargetMode="External"/><Relationship Id="rId14" Type="http://schemas.openxmlformats.org/officeDocument/2006/relationships/hyperlink" Target="http://www.uttyler.edu/mop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7</Pages>
  <Words>2500</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The University of Texas-Tyler</vt:lpstr>
    </vt:vector>
  </TitlesOfParts>
  <Company>The University of Texas at Tyler</Company>
  <LinksUpToDate>false</LinksUpToDate>
  <CharactersWithSpaces>16717</CharactersWithSpaces>
  <SharedDoc>false</SharedDoc>
  <HLinks>
    <vt:vector size="6" baseType="variant">
      <vt:variant>
        <vt:i4>1703953</vt:i4>
      </vt:variant>
      <vt:variant>
        <vt:i4>0</vt:i4>
      </vt:variant>
      <vt:variant>
        <vt:i4>0</vt:i4>
      </vt:variant>
      <vt:variant>
        <vt:i4>5</vt:i4>
      </vt:variant>
      <vt:variant>
        <vt:lpwstr>http://www.uttyler.edu/wellness/StudentRightsandResponsibilities.html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Texas-Tyler</dc:title>
  <dc:creator>Faculty and Staff</dc:creator>
  <cp:lastModifiedBy>Chen Wu</cp:lastModifiedBy>
  <cp:revision>14</cp:revision>
  <cp:lastPrinted>2012-01-25T21:53:00Z</cp:lastPrinted>
  <dcterms:created xsi:type="dcterms:W3CDTF">2019-01-01T21:15:00Z</dcterms:created>
  <dcterms:modified xsi:type="dcterms:W3CDTF">2019-10-17T14:49:00Z</dcterms:modified>
</cp:coreProperties>
</file>